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IoTSyn</w:t>
      </w:r>
      <w:r>
        <w:t xml:space="preserve"> </w:t>
      </w:r>
      <w:r>
        <w:t xml:space="preserve">-</w:t>
      </w:r>
      <w:r>
        <w:t xml:space="preserve"> </w:t>
      </w:r>
      <w:r>
        <w:t xml:space="preserve">Smart</w:t>
      </w:r>
      <w:r>
        <w:t xml:space="preserve"> </w:t>
      </w:r>
      <w:r>
        <w:t xml:space="preserve">City</w:t>
      </w:r>
      <w:r>
        <w:t xml:space="preserve"> </w:t>
      </w:r>
      <w:r>
        <w:t xml:space="preserve">&amp;</w:t>
      </w:r>
      <w:r>
        <w:t xml:space="preserve"> </w:t>
      </w:r>
      <w:r>
        <w:t xml:space="preserve">Public</w:t>
      </w:r>
      <w:r>
        <w:t xml:space="preserve"> </w:t>
      </w:r>
      <w:r>
        <w:t xml:space="preserve">Spaces</w:t>
      </w:r>
      <w:r>
        <w:t xml:space="preserve"> </w:t>
      </w:r>
      <w:r>
        <w:t xml:space="preserve">Edition</w:t>
      </w:r>
    </w:p>
    <w:p>
      <w:pPr>
        <w:pStyle w:val="Subtitle"/>
      </w:pPr>
      <w:r>
        <w:t xml:space="preserve">Methodology</w:t>
      </w:r>
      <w:r>
        <w:t xml:space="preserve"> </w:t>
      </w:r>
      <w:r>
        <w:t xml:space="preserve">and</w:t>
      </w:r>
      <w:r>
        <w:t xml:space="preserve"> </w:t>
      </w:r>
      <w:r>
        <w:t xml:space="preserve">Normative</w:t>
      </w:r>
      <w:r>
        <w:t xml:space="preserve"> </w:t>
      </w:r>
      <w:r>
        <w:t xml:space="preserve">Implementation</w:t>
      </w:r>
      <w:r>
        <w:t xml:space="preserve"> </w:t>
      </w:r>
      <w:r>
        <w:t xml:space="preserve">Specification</w:t>
      </w:r>
      <w:r>
        <w:t xml:space="preserve"> </w:t>
      </w:r>
      <w:r>
        <w:t xml:space="preserve">v4.4.0-RC1</w:t>
      </w:r>
    </w:p>
    <w:p>
      <w:pPr>
        <w:pStyle w:val="Author"/>
      </w:pPr>
      <w:r>
        <w:t xml:space="preserve">IoTSyn</w:t>
      </w:r>
      <w:r>
        <w:t xml:space="preserve"> </w:t>
      </w:r>
      <w:r>
        <w:t xml:space="preserve">Project</w:t>
      </w:r>
    </w:p>
    <w:p>
      <w:pPr>
        <w:pStyle w:val="Date"/>
      </w:pPr>
      <w:r>
        <w:t xml:space="preserve">2026-07-04</w:t>
      </w:r>
    </w:p>
    <w:p>
      <w:r>
        <w:br w:type="page"/>
      </w:r>
    </w:p>
    <w:bookmarkStart w:id="20" w:name="contents"/>
    <w:p>
      <w:pPr>
        <w:pStyle w:val="Heading1"/>
      </w:pPr>
      <w:r>
        <w:t xml:space="preserve">Contents</w:t>
      </w:r>
    </w:p>
    <w:p>
      <w:pPr>
        <w:numPr>
          <w:ilvl w:val="0"/>
          <w:numId w:val="1001"/>
        </w:numPr>
        <w:pStyle w:val="Compact"/>
      </w:pPr>
      <w:r>
        <w:t xml:space="preserve">Purpose, scope, and non-goals</w:t>
      </w:r>
      <w:r>
        <w:br/>
      </w:r>
    </w:p>
    <w:p>
      <w:pPr>
        <w:numPr>
          <w:ilvl w:val="0"/>
          <w:numId w:val="1001"/>
        </w:numPr>
        <w:pStyle w:val="Compact"/>
      </w:pPr>
      <w:r>
        <w:t xml:space="preserve">Design principles</w:t>
      </w:r>
      <w:r>
        <w:br/>
      </w:r>
    </w:p>
    <w:p>
      <w:pPr>
        <w:numPr>
          <w:ilvl w:val="0"/>
          <w:numId w:val="1001"/>
        </w:numPr>
        <w:pStyle w:val="Compact"/>
      </w:pPr>
      <w:r>
        <w:t xml:space="preserve">Architecture and mandatory execution order</w:t>
      </w:r>
      <w:r>
        <w:br/>
      </w:r>
    </w:p>
    <w:p>
      <w:pPr>
        <w:numPr>
          <w:ilvl w:val="0"/>
          <w:numId w:val="1001"/>
        </w:numPr>
        <w:pStyle w:val="Compact"/>
      </w:pPr>
      <w:r>
        <w:t xml:space="preserve">Units, numerical rules, and error policy</w:t>
      </w:r>
      <w:r>
        <w:br/>
      </w:r>
    </w:p>
    <w:p>
      <w:pPr>
        <w:numPr>
          <w:ilvl w:val="0"/>
          <w:numId w:val="1001"/>
        </w:numPr>
        <w:pStyle w:val="Compact"/>
      </w:pPr>
      <w:r>
        <w:t xml:space="preserve">Randomness and core statistical engine</w:t>
      </w:r>
      <w:r>
        <w:br/>
      </w:r>
    </w:p>
    <w:p>
      <w:pPr>
        <w:numPr>
          <w:ilvl w:val="0"/>
          <w:numId w:val="1001"/>
        </w:numPr>
        <w:pStyle w:val="Compact"/>
      </w:pPr>
      <w:r>
        <w:t xml:space="preserve">Environmental and behavioural generator</w:t>
      </w:r>
      <w:r>
        <w:br/>
      </w:r>
    </w:p>
    <w:p>
      <w:pPr>
        <w:numPr>
          <w:ilvl w:val="0"/>
          <w:numId w:val="1001"/>
        </w:numPr>
        <w:pStyle w:val="Compact"/>
      </w:pPr>
      <w:r>
        <w:t xml:space="preserve">Thermal indices</w:t>
      </w:r>
      <w:r>
        <w:br/>
      </w:r>
    </w:p>
    <w:p>
      <w:pPr>
        <w:numPr>
          <w:ilvl w:val="0"/>
          <w:numId w:val="1001"/>
        </w:numPr>
        <w:pStyle w:val="Compact"/>
      </w:pPr>
      <w:r>
        <w:t xml:space="preserve">Aggregation, hazard vector, and decisions</w:t>
      </w:r>
      <w:r>
        <w:br/>
      </w:r>
    </w:p>
    <w:p>
      <w:pPr>
        <w:numPr>
          <w:ilvl w:val="0"/>
          <w:numId w:val="1001"/>
        </w:numPr>
        <w:pStyle w:val="Compact"/>
      </w:pPr>
      <w:r>
        <w:t xml:space="preserve">Output artifacts and data contract</w:t>
      </w:r>
      <w:r>
        <w:br/>
      </w:r>
    </w:p>
    <w:p>
      <w:pPr>
        <w:numPr>
          <w:ilvl w:val="0"/>
          <w:numId w:val="1001"/>
        </w:numPr>
        <w:pStyle w:val="Compact"/>
      </w:pPr>
      <w:r>
        <w:t xml:space="preserve">Validation protocol</w:t>
      </w:r>
      <w:r>
        <w:br/>
      </w:r>
    </w:p>
    <w:p>
      <w:pPr>
        <w:numPr>
          <w:ilvl w:val="0"/>
          <w:numId w:val="1001"/>
        </w:numPr>
        <w:pStyle w:val="Compact"/>
      </w:pPr>
      <w:r>
        <w:t xml:space="preserve">Scenario analysis</w:t>
      </w:r>
      <w:r>
        <w:br/>
      </w:r>
    </w:p>
    <w:p>
      <w:pPr>
        <w:numPr>
          <w:ilvl w:val="0"/>
          <w:numId w:val="1001"/>
        </w:numPr>
        <w:pStyle w:val="Compact"/>
      </w:pPr>
      <w:r>
        <w:t xml:space="preserve">Edge-case contract</w:t>
      </w:r>
      <w:r>
        <w:br/>
      </w:r>
    </w:p>
    <w:p>
      <w:pPr>
        <w:numPr>
          <w:ilvl w:val="0"/>
          <w:numId w:val="1001"/>
        </w:numPr>
        <w:pStyle w:val="Compact"/>
      </w:pPr>
      <w:r>
        <w:t xml:space="preserve">Reproducibility contract</w:t>
      </w:r>
      <w:r>
        <w:br/>
      </w:r>
    </w:p>
    <w:p>
      <w:pPr>
        <w:numPr>
          <w:ilvl w:val="0"/>
          <w:numId w:val="1001"/>
        </w:numPr>
        <w:pStyle w:val="Compact"/>
      </w:pPr>
      <w:r>
        <w:t xml:space="preserve">Security, privacy, and ethical use</w:t>
      </w:r>
      <w:r>
        <w:br/>
      </w:r>
    </w:p>
    <w:p>
      <w:pPr>
        <w:numPr>
          <w:ilvl w:val="0"/>
          <w:numId w:val="1001"/>
        </w:numPr>
        <w:pStyle w:val="Compact"/>
      </w:pPr>
      <w:r>
        <w:t xml:space="preserve">Scope and limitations</w:t>
      </w:r>
      <w:r>
        <w:br/>
      </w:r>
      <w:r>
        <w:t xml:space="preserve">Appendix A. Known-answer and reference calculation vectors</w:t>
      </w:r>
      <w:r>
        <w:br/>
      </w:r>
      <w:r>
        <w:t xml:space="preserve">Appendix B. Minimum normalized scenario structure</w:t>
      </w:r>
      <w:r>
        <w:br/>
      </w:r>
      <w:r>
        <w:t xml:space="preserve">Appendix C. Implementation checklist</w:t>
      </w:r>
      <w:r>
        <w:br/>
      </w:r>
      <w:r>
        <w:t xml:space="preserve">References</w:t>
      </w:r>
    </w:p>
    <w:p>
      <w:r>
        <w:br w:type="page"/>
      </w:r>
    </w:p>
    <w:bookmarkEnd w:id="20"/>
    <w:bookmarkStart w:id="21" w:name="document-status"/>
    <w:p>
      <w:pPr>
        <w:pStyle w:val="Heading1"/>
      </w:pPr>
      <w:r>
        <w:t xml:space="preserve">Document status</w:t>
      </w:r>
    </w:p>
    <w:p>
      <w:pPr>
        <w:pStyle w:val="FirstParagraph"/>
      </w:pPr>
      <w:r>
        <w:rPr>
          <w:bCs/>
          <w:b/>
        </w:rPr>
        <w:t xml:space="preserve">Version:</w:t>
      </w:r>
      <w:r>
        <w:t xml:space="preserve"> </w:t>
      </w:r>
      <w:r>
        <w:t xml:space="preserve">4.4.0-RC1</w:t>
      </w:r>
      <w:r>
        <w:br/>
      </w:r>
      <w:r>
        <w:rPr>
          <w:bCs/>
          <w:b/>
        </w:rPr>
        <w:t xml:space="preserve">Status:</w:t>
      </w:r>
      <w:r>
        <w:t xml:space="preserve"> </w:t>
      </w:r>
      <w:r>
        <w:t xml:space="preserve">Release Candidate 1. The normative model content is complete; Final status is granted only after the reference implementation publishes the remaining conformance evidence (source commit, dependency lockfile, reference-container digest, golden artifacts, and a two-environment reproduction test), as required by Section 13.</w:t>
      </w:r>
      <w:r>
        <w:br/>
      </w:r>
      <w:r>
        <w:rPr>
          <w:bCs/>
          <w:b/>
        </w:rPr>
        <w:t xml:space="preserve">Primary purpose:</w:t>
      </w:r>
      <w:r>
        <w:t xml:space="preserve"> </w:t>
      </w:r>
      <w:r>
        <w:t xml:space="preserve">A normative, implementation-ready specification for developing, testing, and validating the updated IoTSyn Smart City &amp; Public Spaces platform.</w:t>
      </w:r>
      <w:r>
        <w:br/>
      </w:r>
      <w:r>
        <w:rPr>
          <w:bCs/>
          <w:b/>
        </w:rPr>
        <w:t xml:space="preserve">Supersedes:</w:t>
      </w:r>
      <w:r>
        <w:t xml:space="preserve"> </w:t>
      </w:r>
      <w:r>
        <w:t xml:space="preserve">Specification v4.3.1.</w:t>
      </w:r>
    </w:p>
    <w:p>
      <w:pPr>
        <w:pStyle w:val="BodyText"/>
      </w:pPr>
      <w:r>
        <w:t xml:space="preserve">This document is both a scientific methodology and a software conformance specification. It is written so that independent development teams can implement the same model without relying on undocumented choices.</w:t>
      </w:r>
    </w:p>
    <w:p>
      <w:pPr>
        <w:pStyle w:val="BodyText"/>
      </w:pPr>
      <w:r>
        <w:t xml:space="preserve">The key words</w:t>
      </w:r>
      <w:r>
        <w:t xml:space="preserve"> </w:t>
      </w:r>
      <w:r>
        <w:rPr>
          <w:bCs/>
          <w:b/>
        </w:rPr>
        <w:t xml:space="preserve">MUST</w:t>
      </w:r>
      <w:r>
        <w:t xml:space="preserve">,</w:t>
      </w:r>
      <w:r>
        <w:t xml:space="preserve"> </w:t>
      </w:r>
      <w:r>
        <w:rPr>
          <w:bCs/>
          <w:b/>
        </w:rPr>
        <w:t xml:space="preserve">MUST NOT</w:t>
      </w:r>
      <w:r>
        <w:t xml:space="preserve">,</w:t>
      </w:r>
      <w:r>
        <w:t xml:space="preserve"> </w:t>
      </w:r>
      <w:r>
        <w:rPr>
          <w:bCs/>
          <w:b/>
        </w:rPr>
        <w:t xml:space="preserve">REQUIRED</w:t>
      </w:r>
      <w:r>
        <w:t xml:space="preserve">,</w:t>
      </w:r>
      <w:r>
        <w:t xml:space="preserve"> </w:t>
      </w:r>
      <w:r>
        <w:rPr>
          <w:bCs/>
          <w:b/>
        </w:rPr>
        <w:t xml:space="preserve">SHALL</w:t>
      </w:r>
      <w:r>
        <w:t xml:space="preserve">,</w:t>
      </w:r>
      <w:r>
        <w:t xml:space="preserve"> </w:t>
      </w:r>
      <w:r>
        <w:rPr>
          <w:bCs/>
          <w:b/>
        </w:rPr>
        <w:t xml:space="preserve">SHALL NOT</w:t>
      </w:r>
      <w:r>
        <w:t xml:space="preserve">,</w:t>
      </w:r>
      <w:r>
        <w:t xml:space="preserve"> </w:t>
      </w:r>
      <w:r>
        <w:rPr>
          <w:bCs/>
          <w:b/>
        </w:rPr>
        <w:t xml:space="preserve">SHOULD</w:t>
      </w:r>
      <w:r>
        <w:t xml:space="preserve">,</w:t>
      </w:r>
      <w:r>
        <w:t xml:space="preserve"> </w:t>
      </w:r>
      <w:r>
        <w:rPr>
          <w:bCs/>
          <w:b/>
        </w:rPr>
        <w:t xml:space="preserve">SHOULD NOT</w:t>
      </w:r>
      <w:r>
        <w:t xml:space="preserve">,</w:t>
      </w:r>
      <w:r>
        <w:t xml:space="preserve"> </w:t>
      </w:r>
      <w:r>
        <w:rPr>
          <w:bCs/>
          <w:b/>
        </w:rPr>
        <w:t xml:space="preserve">RECOMMENDED</w:t>
      </w:r>
      <w:r>
        <w:t xml:space="preserve">,</w:t>
      </w:r>
      <w:r>
        <w:t xml:space="preserve"> </w:t>
      </w:r>
      <w:r>
        <w:rPr>
          <w:bCs/>
          <w:b/>
        </w:rPr>
        <w:t xml:space="preserve">MAY</w:t>
      </w:r>
      <w:r>
        <w:t xml:space="preserve">, and</w:t>
      </w:r>
      <w:r>
        <w:t xml:space="preserve"> </w:t>
      </w:r>
      <w:r>
        <w:rPr>
          <w:bCs/>
          <w:b/>
        </w:rPr>
        <w:t xml:space="preserve">OPTIONAL</w:t>
      </w:r>
      <w:r>
        <w:t xml:space="preserve"> </w:t>
      </w:r>
      <w:r>
        <w:t xml:space="preserve">are to be interpreted as normative requirements. Text explicitly labelled</w:t>
      </w:r>
      <w:r>
        <w:t xml:space="preserve"> </w:t>
      </w:r>
      <w:r>
        <w:rPr>
          <w:iCs/>
          <w:i/>
        </w:rPr>
        <w:t xml:space="preserve">Informative</w:t>
      </w:r>
      <w:r>
        <w:t xml:space="preserve"> </w:t>
      </w:r>
      <w:r>
        <w:t xml:space="preserve">explains rationale but does not define conformance.</w:t>
      </w:r>
    </w:p>
    <w:bookmarkEnd w:id="21"/>
    <w:bookmarkStart w:id="25" w:name="revision-summary"/>
    <w:p>
      <w:pPr>
        <w:pStyle w:val="Heading1"/>
      </w:pPr>
      <w:r>
        <w:t xml:space="preserve">Revision summary</w:t>
      </w:r>
    </w:p>
    <w:bookmarkStart w:id="22" w:name="version-4.4.0-rc1"/>
    <w:p>
      <w:pPr>
        <w:pStyle w:val="Heading2"/>
      </w:pPr>
      <w:r>
        <w:t xml:space="preserve">Version 4.4.0-RC1</w:t>
      </w:r>
    </w:p>
    <w:p>
      <w:pPr>
        <w:pStyle w:val="FirstParagraph"/>
      </w:pPr>
      <w:r>
        <w:t xml:space="preserve">Version 4.4.0-RC1 responds to the external audit of v4.3.1. The mathematical content of every existing reference vector is unchanged and remains verified.</w:t>
      </w:r>
    </w:p>
    <w:p>
      <w:pPr>
        <w:numPr>
          <w:ilvl w:val="0"/>
          <w:numId w:val="1002"/>
        </w:numPr>
        <w:pStyle w:val="Compact"/>
      </w:pPr>
      <w:r>
        <w:t xml:space="preserve">The ventilation monotonicity check is corrected: the sign of dC_inf/dk_vent equals the sign of C_bg(k_dep + k_chem) - E/V, so the validator now derives the expected direction per probe instead of assuming that more ventilation always lowers the steady state. Two-regime reference vectors are included.</w:t>
      </w:r>
    </w:p>
    <w:p>
      <w:pPr>
        <w:numPr>
          <w:ilvl w:val="0"/>
          <w:numId w:val="1002"/>
        </w:numPr>
        <w:pStyle w:val="Compact"/>
      </w:pPr>
      <w:r>
        <w:t xml:space="preserve">Every stochastic algorithm is now pinned to normative pseudocode with an explicit random-consumption order: Box-Muller caching, Knuth and PTRS Poisson, Marsaglia-Tsang Gamma (including the alpha &lt; 1 boost and scale handling), Beta as a ratio of two Gammas, the categorical rule, and the Normal CDF module used by the wind copula.</w:t>
      </w:r>
    </w:p>
    <w:p>
      <w:pPr>
        <w:numPr>
          <w:ilvl w:val="0"/>
          <w:numId w:val="1002"/>
        </w:numPr>
        <w:pStyle w:val="Compact"/>
      </w:pPr>
      <w:r>
        <w:t xml:space="preserve">The solar module is renamed</w:t>
      </w:r>
      <w:r>
        <w:t xml:space="preserve"> </w:t>
      </w:r>
      <w:r>
        <w:rPr>
          <w:rStyle w:val="VerbatimChar"/>
        </w:rPr>
        <w:t xml:space="preserve">iotsyn_solar_v1</w:t>
      </w:r>
      <w:r>
        <w:t xml:space="preserve"> </w:t>
      </w:r>
      <w:r>
        <w:t xml:space="preserve">and fully specified in Appendix D, with known-answer vectors.</w:t>
      </w:r>
    </w:p>
    <w:p>
      <w:pPr>
        <w:numPr>
          <w:ilvl w:val="0"/>
          <w:numId w:val="1002"/>
        </w:numPr>
        <w:pStyle w:val="Compact"/>
      </w:pPr>
      <w:r>
        <w:t xml:space="preserve">All previously open initial conditions and edge cases are closed: Markov-chain start states, pollutant initial concentration, polar day/night UHI behaviour, audience-knot interpolation across midnight, zero-probability vectors, the uniform mapping used for arrival offsets, stable ordering of simultaneous events, the fate of deferred visitors after timeout, and the overall action level when every hazard is unavailable.</w:t>
      </w:r>
    </w:p>
    <w:p>
      <w:pPr>
        <w:numPr>
          <w:ilvl w:val="0"/>
          <w:numId w:val="1002"/>
        </w:numPr>
        <w:pStyle w:val="Compact"/>
      </w:pPr>
      <w:r>
        <w:t xml:space="preserve">The data contract is externalized to machine-readable artifacts shipped with this specification: a complete CSV data dictionary, JSON Schemas for the JSON artifacts, and a normative tolerance map. Canonical JSON is pinned to RFC 8785; the arrival event log is pinned to JSON Lines with a defined record order.</w:t>
      </w:r>
    </w:p>
    <w:p>
      <w:pPr>
        <w:numPr>
          <w:ilvl w:val="0"/>
          <w:numId w:val="1002"/>
        </w:numPr>
        <w:pStyle w:val="Compact"/>
      </w:pPr>
      <w:r>
        <w:t xml:space="preserve">The known-answer set is expanded from three groups to more than twenty, covering substream seed derivation, all distributions, the Normal CDF, an NHPP interval, solar geometry, saturation vapour pressure, the wind profile, energetic noise summation, largest-remainder allocation, partial and fully unavailable risk vectors, and the compound priority score.</w:t>
      </w:r>
    </w:p>
    <w:p>
      <w:pPr>
        <w:numPr>
          <w:ilvl w:val="0"/>
          <w:numId w:val="1002"/>
        </w:numPr>
        <w:pStyle w:val="Compact"/>
      </w:pPr>
      <w:r>
        <w:t xml:space="preserve">Word rendering is hardened: interval notation in tables, bitwise operations, and unit superscripts are expressed as plain text or code so no normative requirement depends on equation rendering.</w:t>
      </w:r>
    </w:p>
    <w:p>
      <w:pPr>
        <w:numPr>
          <w:ilvl w:val="0"/>
          <w:numId w:val="1002"/>
        </w:numPr>
        <w:pStyle w:val="Compact"/>
      </w:pPr>
      <w:r>
        <w:t xml:space="preserve">Document status is set to Release Candidate until the implementation-side conformance evidence exists.</w:t>
      </w:r>
    </w:p>
    <w:bookmarkEnd w:id="22"/>
    <w:bookmarkStart w:id="23" w:name="version-4.3.1"/>
    <w:p>
      <w:pPr>
        <w:pStyle w:val="Heading2"/>
      </w:pPr>
      <w:r>
        <w:t xml:space="preserve">Version 4.3.1</w:t>
      </w:r>
    </w:p>
    <w:p>
      <w:pPr>
        <w:pStyle w:val="FirstParagraph"/>
      </w:pPr>
      <w:r>
        <w:t xml:space="preserve">Version 4.3.1 applies review corrections only. No numerical behaviour of a correctly implemented v4.3.0 component changes; the pipeline change makes an already-required data dependency explicit.</w:t>
      </w:r>
    </w:p>
    <w:p>
      <w:pPr>
        <w:numPr>
          <w:ilvl w:val="0"/>
          <w:numId w:val="1003"/>
        </w:numPr>
        <w:pStyle w:val="Compact"/>
      </w:pPr>
      <w:r>
        <w:t xml:space="preserve">Thermal indices are computed at pipeline stage 7, before offered-arrival intensity construction, resolving the contradiction in which the thermal deterrence factor consumed a UTCI value that the mandatory order produced only at a later stage.</w:t>
      </w:r>
    </w:p>
    <w:p>
      <w:pPr>
        <w:numPr>
          <w:ilvl w:val="0"/>
          <w:numId w:val="1003"/>
        </w:numPr>
        <w:pStyle w:val="Compact"/>
      </w:pPr>
      <w:r>
        <w:t xml:space="preserve">Section 6.9 is reworded accordingly; the alternative-thermal-predictor clause now applies only when UTCI is disabled.</w:t>
      </w:r>
    </w:p>
    <w:p>
      <w:pPr>
        <w:numPr>
          <w:ilvl w:val="0"/>
          <w:numId w:val="1003"/>
        </w:numPr>
        <w:pStyle w:val="Compact"/>
      </w:pPr>
      <w:r>
        <w:rPr>
          <w:rStyle w:val="VerbatimChar"/>
        </w:rPr>
        <w:t xml:space="preserve">elevated_hazard_count</w:t>
      </w:r>
      <w:r>
        <w:t xml:space="preserve"> </w:t>
      </w:r>
      <w:r>
        <w:t xml:space="preserve">and</w:t>
      </w:r>
      <w:r>
        <w:t xml:space="preserve"> </w:t>
      </w:r>
      <w:r>
        <w:rPr>
          <w:rStyle w:val="VerbatimChar"/>
        </w:rPr>
        <w:t xml:space="preserve">overall_action_level_provisional</w:t>
      </w:r>
      <w:r>
        <w:t xml:space="preserve"> </w:t>
      </w:r>
      <w:r>
        <w:t xml:space="preserve">are added to the mandatory CSV column contract, matching Section 8.5 and the reference test vectors.</w:t>
      </w:r>
    </w:p>
    <w:p>
      <w:pPr>
        <w:numPr>
          <w:ilvl w:val="0"/>
          <w:numId w:val="1003"/>
        </w:numPr>
        <w:pStyle w:val="Compact"/>
      </w:pPr>
      <w:r>
        <w:t xml:space="preserve">A worked example clarifies the time-grid timestamp semantics.</w:t>
      </w:r>
    </w:p>
    <w:p>
      <w:pPr>
        <w:numPr>
          <w:ilvl w:val="0"/>
          <w:numId w:val="1003"/>
        </w:numPr>
        <w:pStyle w:val="Compact"/>
      </w:pPr>
      <w:r>
        <w:t xml:space="preserve">The random-substream derivation salt is pinned as a versioned constant decoupled from the document version, so document revisions do not silently re-seed every stream.</w:t>
      </w:r>
    </w:p>
    <w:p>
      <w:pPr>
        <w:numPr>
          <w:ilvl w:val="0"/>
          <w:numId w:val="1003"/>
        </w:numPr>
        <w:pStyle w:val="Compact"/>
      </w:pPr>
      <w:r>
        <w:t xml:space="preserve">Attribution corrections: the saturation vapour-pressure coefficients are attributed to the WMO-recommended Sonntag set rather than to Tetens (1930); the cloud transmissivity factor is attributed to Kasten and Czeplak (1980); the solar module and the Kolmogorov-Smirnov test receive citations; the Matsumoto and Nishimura title is completed.</w:t>
      </w:r>
    </w:p>
    <w:p>
      <w:pPr>
        <w:numPr>
          <w:ilvl w:val="0"/>
          <w:numId w:val="1003"/>
        </w:numPr>
        <w:pStyle w:val="Compact"/>
      </w:pPr>
      <w:r>
        <w:t xml:space="preserve">The provenance of the NO2 operational bands relative to WHO 2021 values is stated precisely.</w:t>
      </w:r>
    </w:p>
    <w:bookmarkEnd w:id="23"/>
    <w:bookmarkStart w:id="24" w:name="version-4.3.0"/>
    <w:p>
      <w:pPr>
        <w:pStyle w:val="Heading2"/>
      </w:pPr>
      <w:r>
        <w:t xml:space="preserve">Version 4.3.0</w:t>
      </w:r>
    </w:p>
    <w:p>
      <w:pPr>
        <w:pStyle w:val="FirstParagraph"/>
      </w:pPr>
      <w:r>
        <w:t xml:space="preserve">Version 4.3.0 resolves implementation ambiguities and mathematical defects identified in the v4.2.0 review. The principal changes are:</w:t>
      </w:r>
    </w:p>
    <w:p>
      <w:pPr>
        <w:numPr>
          <w:ilvl w:val="0"/>
          <w:numId w:val="1004"/>
        </w:numPr>
        <w:pStyle w:val="Compact"/>
      </w:pPr>
      <w:r>
        <w:t xml:space="preserve">The platform is separated into four explicit layers: latent physical truth, sensor observation, aggregation/features, and risk/decision output.</w:t>
      </w:r>
    </w:p>
    <w:p>
      <w:pPr>
        <w:numPr>
          <w:ilvl w:val="0"/>
          <w:numId w:val="1004"/>
        </w:numPr>
        <w:pStyle w:val="Compact"/>
      </w:pPr>
      <w:r>
        <w:t xml:space="preserve">MT19937 uniforms used by logarithms or inverse CDFs are mapped to the open interval</w:t>
      </w:r>
      <w:r>
        <w:t xml:space="preserve"> </w:t>
      </w:r>
      <m:oMath>
        <m:d>
          <m:dPr>
            <m:begChr m:val="("/>
            <m:endChr m:val=")"/>
            <m:sepChr m:val=""/>
            <m:grow/>
          </m:dPr>
          <m:e>
            <m:r>
              <m:t>0</m:t>
            </m:r>
            <m:r>
              <m:rPr>
                <m:sty m:val="p"/>
              </m:rPr>
              <m:t>,</m:t>
            </m:r>
            <m:r>
              <m:t>1</m:t>
            </m:r>
          </m:e>
        </m:d>
      </m:oMath>
      <w:r>
        <w:t xml:space="preserve">, preventing</w:t>
      </w:r>
      <w:r>
        <w:t xml:space="preserve"> </w:t>
      </w:r>
      <m:oMath>
        <m:r>
          <m:rPr>
            <m:sty m:val="p"/>
          </m:rPr>
          <m:t>log</m:t>
        </m:r>
        <m:d>
          <m:dPr>
            <m:begChr m:val="("/>
            <m:endChr m:val=")"/>
            <m:sepChr m:val=""/>
            <m:grow/>
          </m:dPr>
          <m:e>
            <m:r>
              <m:t>0</m:t>
            </m:r>
          </m:e>
        </m:d>
      </m:oMath>
      <w:r>
        <w:t xml:space="preserve">.</w:t>
      </w:r>
    </w:p>
    <w:p>
      <w:pPr>
        <w:numPr>
          <w:ilvl w:val="0"/>
          <w:numId w:val="1004"/>
        </w:numPr>
        <w:pStyle w:val="Compact"/>
      </w:pPr>
      <w:r>
        <w:t xml:space="preserve">Named deterministic random substreams isolate components so adding a new channel does not perturb unrelated outputs.</w:t>
      </w:r>
    </w:p>
    <w:p>
      <w:pPr>
        <w:numPr>
          <w:ilvl w:val="0"/>
          <w:numId w:val="1004"/>
        </w:numPr>
        <w:pStyle w:val="Compact"/>
      </w:pPr>
      <w:r>
        <w:t xml:space="preserve">The pollutant observation model is arithmetic-mean preserving by default.</w:t>
      </w:r>
    </w:p>
    <w:p>
      <w:pPr>
        <w:numPr>
          <w:ilvl w:val="0"/>
          <w:numId w:val="1004"/>
        </w:numPr>
        <w:pStyle w:val="Compact"/>
      </w:pPr>
      <w:r>
        <w:t xml:space="preserve">Pollutant removal separates ventilation, deposition, and chemical loss.</w:t>
      </w:r>
    </w:p>
    <w:p>
      <w:pPr>
        <w:numPr>
          <w:ilvl w:val="0"/>
          <w:numId w:val="1004"/>
        </w:numPr>
        <w:pStyle w:val="Compact"/>
      </w:pPr>
      <w:r>
        <w:t xml:space="preserve">Occupancy has explicit start conditions and optional hidden warm-up.</w:t>
      </w:r>
    </w:p>
    <w:p>
      <w:pPr>
        <w:numPr>
          <w:ilvl w:val="0"/>
          <w:numId w:val="1004"/>
        </w:numPr>
        <w:pStyle w:val="Compact"/>
      </w:pPr>
      <w:r>
        <w:t xml:space="preserve">Offered, admitted, rejected, and deferred arrivals are distinct event classes; NHPP validation applies to offered arrivals.</w:t>
      </w:r>
    </w:p>
    <w:p>
      <w:pPr>
        <w:numPr>
          <w:ilvl w:val="0"/>
          <w:numId w:val="1004"/>
        </w:numPr>
        <w:pStyle w:val="Compact"/>
      </w:pPr>
      <w:r>
        <w:t xml:space="preserve">Pedestrian sound energy is exactly zero when occupancy is zero, and</w:t>
      </w:r>
      <w:r>
        <w:t xml:space="preserve"> </w:t>
      </w:r>
      <m:oMath>
        <m:sSub>
          <m:e>
            <m:r>
              <m:t>L</m:t>
            </m:r>
          </m:e>
          <m:sub>
            <m:r>
              <m:t>A</m:t>
            </m:r>
            <m:r>
              <m:t>e</m:t>
            </m:r>
            <m:r>
              <m:t>q</m:t>
            </m:r>
            <m:r>
              <m:rPr>
                <m:sty m:val="p"/>
              </m:rPr>
              <m:t>,</m:t>
            </m:r>
            <m:r>
              <m:t>T</m:t>
            </m:r>
          </m:sub>
        </m:sSub>
      </m:oMath>
      <w:r>
        <w:t xml:space="preserve"> </w:t>
      </w:r>
      <w:r>
        <w:t xml:space="preserve">is calculated through energy averaging over a declared window.</w:t>
      </w:r>
    </w:p>
    <w:p>
      <w:pPr>
        <w:numPr>
          <w:ilvl w:val="0"/>
          <w:numId w:val="1004"/>
        </w:numPr>
        <w:pStyle w:val="Compact"/>
      </w:pPr>
      <w:r>
        <w:t xml:space="preserve">Audience segment is assigned to each arrival and remains fixed for the visitor’s dwell period.</w:t>
      </w:r>
    </w:p>
    <w:p>
      <w:pPr>
        <w:numPr>
          <w:ilvl w:val="0"/>
          <w:numId w:val="1004"/>
        </w:numPr>
        <w:pStyle w:val="Compact"/>
      </w:pPr>
      <w:r>
        <w:t xml:space="preserve">UTCI units, domain handling, categories, and operational bands are fully specified. WBGT follows a separate heat-only decision path.</w:t>
      </w:r>
    </w:p>
    <w:p>
      <w:pPr>
        <w:numPr>
          <w:ilvl w:val="0"/>
          <w:numId w:val="1004"/>
        </w:numPr>
        <w:pStyle w:val="Compact"/>
      </w:pPr>
      <w:r>
        <w:t xml:space="preserve">Compound risk uses all elevated hazards, not a scalar sensitivity indexed by an undefined list-valued issue.</w:t>
      </w:r>
    </w:p>
    <w:p>
      <w:pPr>
        <w:numPr>
          <w:ilvl w:val="0"/>
          <w:numId w:val="1004"/>
        </w:numPr>
        <w:pStyle w:val="Compact"/>
      </w:pPr>
      <w:r>
        <w:t xml:space="preserve">Decision objects declare whether they are nowcasts, forecasts, or ex-post planning outputs.</w:t>
      </w:r>
    </w:p>
    <w:p>
      <w:pPr>
        <w:numPr>
          <w:ilvl w:val="0"/>
          <w:numId w:val="1004"/>
        </w:numPr>
        <w:pStyle w:val="Compact"/>
      </w:pPr>
      <w:r>
        <w:t xml:space="preserve">Reproducibility is defined as exact inside a pinned reference container and tolerance-based outside it.</w:t>
      </w:r>
    </w:p>
    <w:p>
      <w:pPr>
        <w:numPr>
          <w:ilvl w:val="0"/>
          <w:numId w:val="1004"/>
        </w:numPr>
        <w:pStyle w:val="Compact"/>
      </w:pPr>
      <w:r>
        <w:t xml:space="preserve">Validation is divided into numerical correctness, statistical fidelity, internal consistency, and external benchmarking.</w:t>
      </w:r>
    </w:p>
    <w:p>
      <w:pPr>
        <w:numPr>
          <w:ilvl w:val="0"/>
          <w:numId w:val="1004"/>
        </w:numPr>
        <w:pStyle w:val="Compact"/>
      </w:pPr>
      <w:r>
        <w:t xml:space="preserve">Output artifacts include a cryptographic manifest and schema/version metadata.</w:t>
      </w:r>
    </w:p>
    <w:bookmarkEnd w:id="24"/>
    <w:bookmarkEnd w:id="25"/>
    <w:bookmarkStart w:id="29" w:name="purpose-scope-and-non-goals"/>
    <w:p>
      <w:pPr>
        <w:pStyle w:val="Heading1"/>
      </w:pPr>
      <w:r>
        <w:t xml:space="preserve">1. Purpose, scope, and non-goals</w:t>
      </w:r>
    </w:p>
    <w:bookmarkStart w:id="26" w:name="purpose"/>
    <w:p>
      <w:pPr>
        <w:pStyle w:val="Heading2"/>
      </w:pPr>
      <w:r>
        <w:t xml:space="preserve">1.1 Purpose</w:t>
      </w:r>
    </w:p>
    <w:p>
      <w:pPr>
        <w:pStyle w:val="FirstParagraph"/>
      </w:pPr>
      <w:r>
        <w:t xml:space="preserve">IoTSyn generates transparent, reproducible synthetic urban public-space IoT datasets without training generative AI models. It combines explicit stochastic processes with simplified urban physics and a deterministic decision layer.</w:t>
      </w:r>
    </w:p>
    <w:p>
      <w:pPr>
        <w:pStyle w:val="BodyText"/>
      </w:pPr>
      <w:r>
        <w:t xml:space="preserve">The specification supports research, software testing, education, scenario analysis, operations prototyping, and reproducible demonstrations. It is intended to produce internally coherent scenarios involving:</w:t>
      </w:r>
    </w:p>
    <w:p>
      <w:pPr>
        <w:numPr>
          <w:ilvl w:val="0"/>
          <w:numId w:val="1005"/>
        </w:numPr>
        <w:pStyle w:val="Compact"/>
      </w:pPr>
      <w:r>
        <w:t xml:space="preserve">outdoor meteorology and thermal exposure;</w:t>
      </w:r>
    </w:p>
    <w:p>
      <w:pPr>
        <w:numPr>
          <w:ilvl w:val="0"/>
          <w:numId w:val="1005"/>
        </w:numPr>
        <w:pStyle w:val="Compact"/>
      </w:pPr>
      <w:r>
        <w:t xml:space="preserve">PM2.5 and NO2 concentrations;</w:t>
      </w:r>
    </w:p>
    <w:p>
      <w:pPr>
        <w:numPr>
          <w:ilvl w:val="0"/>
          <w:numId w:val="1005"/>
        </w:numPr>
        <w:pStyle w:val="Compact"/>
      </w:pPr>
      <w:r>
        <w:t xml:space="preserve">environmental noise;</w:t>
      </w:r>
    </w:p>
    <w:p>
      <w:pPr>
        <w:numPr>
          <w:ilvl w:val="0"/>
          <w:numId w:val="1005"/>
        </w:numPr>
        <w:pStyle w:val="Compact"/>
      </w:pPr>
      <w:r>
        <w:t xml:space="preserve">pedestrian arrivals, occupancy, capacity, and audience composition;</w:t>
      </w:r>
    </w:p>
    <w:p>
      <w:pPr>
        <w:numPr>
          <w:ilvl w:val="0"/>
          <w:numId w:val="1005"/>
        </w:numPr>
        <w:pStyle w:val="Compact"/>
      </w:pPr>
      <w:r>
        <w:t xml:space="preserve">a four-hazard operational action vector;</w:t>
      </w:r>
    </w:p>
    <w:p>
      <w:pPr>
        <w:numPr>
          <w:ilvl w:val="0"/>
          <w:numId w:val="1005"/>
        </w:numPr>
        <w:pStyle w:val="Compact"/>
      </w:pPr>
      <w:r>
        <w:t xml:space="preserve">immediate risk communication; and</w:t>
      </w:r>
    </w:p>
    <w:p>
      <w:pPr>
        <w:numPr>
          <w:ilvl w:val="0"/>
          <w:numId w:val="1005"/>
        </w:numPr>
        <w:pStyle w:val="Compact"/>
      </w:pPr>
      <w:r>
        <w:t xml:space="preserve">episode-level behaviour-change planning objects.</w:t>
      </w:r>
    </w:p>
    <w:bookmarkEnd w:id="26"/>
    <w:bookmarkStart w:id="27" w:name="non-goals"/>
    <w:p>
      <w:pPr>
        <w:pStyle w:val="Heading2"/>
      </w:pPr>
      <w:r>
        <w:t xml:space="preserve">1.2 Non-goals</w:t>
      </w:r>
    </w:p>
    <w:p>
      <w:pPr>
        <w:pStyle w:val="FirstParagraph"/>
      </w:pPr>
      <w:r>
        <w:t xml:space="preserve">IoTSyn does not claim to reproduce a specific city unless its parameters have been externally calibrated. It is not a computational-fluid-dynamics model, an atmospheric chemistry model, an individual pedestrian trajectory model, a medical diagnostic system, or a substitute for local emergency/public-health protocols.</w:t>
      </w:r>
    </w:p>
    <w:p>
      <w:pPr>
        <w:pStyle w:val="BodyText"/>
      </w:pPr>
      <w:r>
        <w:t xml:space="preserve">No output from the rule-based decision layer SHALL be labelled a validated public-health recommendation unless a separate local governance and validation process has approved it.</w:t>
      </w:r>
    </w:p>
    <w:bookmarkEnd w:id="27"/>
    <w:bookmarkStart w:id="28" w:name="conformance-profiles"/>
    <w:p>
      <w:pPr>
        <w:pStyle w:val="Heading2"/>
      </w:pPr>
      <w:r>
        <w:t xml:space="preserve">1.3 Conformance profiles</w:t>
      </w:r>
    </w:p>
    <w:p>
      <w:pPr>
        <w:pStyle w:val="FirstParagraph"/>
      </w:pPr>
      <w:r>
        <w:t xml:space="preserve">An implementation MAY support one or both profiles:</w:t>
      </w:r>
    </w:p>
    <w:p>
      <w:pPr>
        <w:numPr>
          <w:ilvl w:val="0"/>
          <w:numId w:val="1006"/>
        </w:numPr>
        <w:pStyle w:val="Compact"/>
      </w:pPr>
      <w:r>
        <w:rPr>
          <w:bCs/>
          <w:b/>
        </w:rPr>
        <w:t xml:space="preserve">Core profile:</w:t>
      </w:r>
      <w:r>
        <w:t xml:space="preserve"> </w:t>
      </w:r>
      <w:r>
        <w:t xml:space="preserve">all required generation, decision, validation, and serialization behaviour in this specification.</w:t>
      </w:r>
    </w:p>
    <w:p>
      <w:pPr>
        <w:numPr>
          <w:ilvl w:val="0"/>
          <w:numId w:val="1006"/>
        </w:numPr>
        <w:pStyle w:val="Compact"/>
      </w:pPr>
      <w:r>
        <w:rPr>
          <w:bCs/>
          <w:b/>
        </w:rPr>
        <w:t xml:space="preserve">Extended profile:</w:t>
      </w:r>
      <w:r>
        <w:t xml:space="preserve"> </w:t>
      </w:r>
      <w:r>
        <w:t xml:space="preserve">optional sensor drift, finite-capacity deferral, WBGT, forecasts, external benchmarking, and additional pollutant species.</w:t>
      </w:r>
    </w:p>
    <w:p>
      <w:pPr>
        <w:pStyle w:val="FirstParagraph"/>
      </w:pPr>
      <w:r>
        <w:t xml:space="preserve">An implementation claiming v4.4.0 Core conformance MUST pass all mandatory known-answer, invariant, schema, and reference-scenario tests.</w:t>
      </w:r>
    </w:p>
    <w:bookmarkEnd w:id="28"/>
    <w:bookmarkEnd w:id="29"/>
    <w:bookmarkStart w:id="30" w:name="design-principles"/>
    <w:p>
      <w:pPr>
        <w:pStyle w:val="Heading1"/>
      </w:pPr>
      <w:r>
        <w:t xml:space="preserve">2. Design principles</w:t>
      </w:r>
    </w:p>
    <w:p>
      <w:pPr>
        <w:pStyle w:val="FirstParagraph"/>
      </w:pPr>
      <w:r>
        <w:rPr>
          <w:bCs/>
          <w:b/>
        </w:rPr>
        <w:t xml:space="preserve">Transparent.</w:t>
      </w:r>
      <w:r>
        <w:t xml:space="preserve"> </w:t>
      </w:r>
      <w:r>
        <w:t xml:space="preserve">Every generated field has a declared source equation, unit, parameter set, random stream, and validation class.</w:t>
      </w:r>
    </w:p>
    <w:p>
      <w:pPr>
        <w:pStyle w:val="BodyText"/>
      </w:pPr>
      <w:r>
        <w:rPr>
          <w:bCs/>
          <w:b/>
        </w:rPr>
        <w:t xml:space="preserve">Layered.</w:t>
      </w:r>
      <w:r>
        <w:t xml:space="preserve"> </w:t>
      </w:r>
      <w:r>
        <w:t xml:space="preserve">Physical truth is never overwritten by sensor noise or decision logic.</w:t>
      </w:r>
    </w:p>
    <w:p>
      <w:pPr>
        <w:pStyle w:val="BodyText"/>
      </w:pPr>
      <w:r>
        <w:rPr>
          <w:bCs/>
          <w:b/>
        </w:rPr>
        <w:t xml:space="preserve">Deterministic.</w:t>
      </w:r>
      <w:r>
        <w:t xml:space="preserve"> </w:t>
      </w:r>
      <w:r>
        <w:t xml:space="preserve">A pinned reference runtime, canonical configuration, and seed reproduce exact artifacts.</w:t>
      </w:r>
    </w:p>
    <w:p>
      <w:pPr>
        <w:pStyle w:val="BodyText"/>
      </w:pPr>
      <w:r>
        <w:rPr>
          <w:bCs/>
          <w:b/>
        </w:rPr>
        <w:t xml:space="preserve">Extensible without random-sequence breakage.</w:t>
      </w:r>
      <w:r>
        <w:t xml:space="preserve"> </w:t>
      </w:r>
      <w:r>
        <w:t xml:space="preserve">Every component consumes a named random substream.</w:t>
      </w:r>
    </w:p>
    <w:p>
      <w:pPr>
        <w:pStyle w:val="BodyText"/>
      </w:pPr>
      <w:r>
        <w:rPr>
          <w:bCs/>
          <w:b/>
        </w:rPr>
        <w:t xml:space="preserve">Physically interpretable.</w:t>
      </w:r>
      <w:r>
        <w:t xml:space="preserve"> </w:t>
      </w:r>
      <w:r>
        <w:t xml:space="preserve">Simplifications are allowed, but they are explicit and dimensionally consistent.</w:t>
      </w:r>
    </w:p>
    <w:p>
      <w:pPr>
        <w:pStyle w:val="BodyText"/>
      </w:pPr>
      <w:r>
        <w:rPr>
          <w:bCs/>
          <w:b/>
        </w:rPr>
        <w:t xml:space="preserve">Decision-auditable.</w:t>
      </w:r>
      <w:r>
        <w:t xml:space="preserve"> </w:t>
      </w:r>
      <w:r>
        <w:t xml:space="preserve">Every message and strategy object is recomputable from stored data and rules.</w:t>
      </w:r>
    </w:p>
    <w:p>
      <w:pPr>
        <w:pStyle w:val="BodyText"/>
      </w:pPr>
      <w:r>
        <w:rPr>
          <w:bCs/>
          <w:b/>
        </w:rPr>
        <w:t xml:space="preserve">Honest about evidence.</w:t>
      </w:r>
      <w:r>
        <w:t xml:space="preserve"> </w:t>
      </w:r>
      <w:r>
        <w:t xml:space="preserve">Programmed couplings are reported as internal-consistency results, not empirical discoveries.</w:t>
      </w:r>
    </w:p>
    <w:bookmarkEnd w:id="30"/>
    <w:bookmarkStart w:id="34" w:name="X57b22c7403997ba1ea43da545de5c3ff2a4ba0a"/>
    <w:p>
      <w:pPr>
        <w:pStyle w:val="Heading1"/>
      </w:pPr>
      <w:r>
        <w:t xml:space="preserve">3. Architecture and mandatory execution order</w:t>
      </w:r>
    </w:p>
    <w:bookmarkStart w:id="31" w:name="four-data-layers"/>
    <w:p>
      <w:pPr>
        <w:pStyle w:val="Heading2"/>
      </w:pPr>
      <w:r>
        <w:t xml:space="preserve">3.1 Four data layers</w:t>
      </w:r>
    </w:p>
    <w:tbl>
      <w:tblPr>
        <w:tblStyle w:val="Table"/>
        <w:tblW w:type="pct" w:w="5000"/>
        <w:tblLook w:firstRow="1" w:lastRow="0" w:firstColumn="0" w:lastColumn="0" w:noHBand="0" w:noVBand="0" w:val="0020"/>
        <w:jc w:val="start"/>
      </w:tblPr>
      <w:tblGrid>
        <w:gridCol w:w="2640"/>
        <w:gridCol w:w="2640"/>
        <w:gridCol w:w="2640"/>
      </w:tblGrid>
      <w:tr>
        <w:trPr>
          <w:tblHeader w:val="true"/>
        </w:trPr>
        <w:tc>
          <w:tcPr/>
          <w:p>
            <w:pPr>
              <w:pStyle w:val="Compact"/>
              <w:jc w:val="left"/>
            </w:pPr>
            <w:r>
              <w:t xml:space="preserve">Layer</w:t>
            </w:r>
          </w:p>
        </w:tc>
        <w:tc>
          <w:tcPr/>
          <w:p>
            <w:pPr>
              <w:pStyle w:val="Compact"/>
              <w:jc w:val="left"/>
            </w:pPr>
            <w:r>
              <w:t xml:space="preserve">Meaning</w:t>
            </w:r>
          </w:p>
        </w:tc>
        <w:tc>
          <w:tcPr/>
          <w:p>
            <w:pPr>
              <w:pStyle w:val="Compact"/>
              <w:jc w:val="left"/>
            </w:pPr>
            <w:r>
              <w:t xml:space="preserve">Examples</w:t>
            </w:r>
          </w:p>
        </w:tc>
      </w:tr>
      <w:tr>
        <w:tc>
          <w:tcPr/>
          <w:p>
            <w:pPr>
              <w:pStyle w:val="Compact"/>
              <w:jc w:val="left"/>
            </w:pPr>
            <w:r>
              <w:t xml:space="preserve">Latent physical truth</w:t>
            </w:r>
          </w:p>
        </w:tc>
        <w:tc>
          <w:tcPr/>
          <w:p>
            <w:pPr>
              <w:pStyle w:val="Compact"/>
              <w:jc w:val="left"/>
            </w:pPr>
            <w:r>
              <w:t xml:space="preserve">Simulated environmental and behavioural state before measurement error</w:t>
            </w:r>
          </w:p>
        </w:tc>
        <w:tc>
          <w:tcPr/>
          <w:p>
            <w:pPr>
              <w:pStyle w:val="Compact"/>
              <w:jc w:val="left"/>
            </w:pPr>
            <w:r>
              <w:rPr>
                <w:rStyle w:val="VerbatimChar"/>
              </w:rPr>
              <w:t xml:space="preserve">pm25_physical_ug_m3</w:t>
            </w:r>
            <w:r>
              <w:t xml:space="preserve">, true occupancy, offered arrivals</w:t>
            </w:r>
          </w:p>
        </w:tc>
      </w:tr>
      <w:tr>
        <w:tc>
          <w:tcPr/>
          <w:p>
            <w:pPr>
              <w:pStyle w:val="Compact"/>
              <w:jc w:val="left"/>
            </w:pPr>
            <w:r>
              <w:t xml:space="preserve">Sensor observation</w:t>
            </w:r>
          </w:p>
        </w:tc>
        <w:tc>
          <w:tcPr/>
          <w:p>
            <w:pPr>
              <w:pStyle w:val="Compact"/>
              <w:jc w:val="left"/>
            </w:pPr>
            <w:r>
              <w:t xml:space="preserve">Synthetic measurement process</w:t>
            </w:r>
          </w:p>
        </w:tc>
        <w:tc>
          <w:tcPr/>
          <w:p>
            <w:pPr>
              <w:pStyle w:val="Compact"/>
              <w:jc w:val="left"/>
            </w:pPr>
            <w:r>
              <w:rPr>
                <w:rStyle w:val="VerbatimChar"/>
              </w:rPr>
              <w:t xml:space="preserve">pm25_sensor_raw_ug_m3</w:t>
            </w:r>
            <w:r>
              <w:t xml:space="preserve">, bias, drift, missingness</w:t>
            </w:r>
          </w:p>
        </w:tc>
      </w:tr>
      <w:tr>
        <w:tc>
          <w:tcPr/>
          <w:p>
            <w:pPr>
              <w:pStyle w:val="Compact"/>
              <w:jc w:val="left"/>
            </w:pPr>
            <w:r>
              <w:t xml:space="preserve">Aggregation and features</w:t>
            </w:r>
          </w:p>
        </w:tc>
        <w:tc>
          <w:tcPr/>
          <w:p>
            <w:pPr>
              <w:pStyle w:val="Compact"/>
              <w:jc w:val="left"/>
            </w:pPr>
            <w:r>
              <w:t xml:space="preserve">Windowed or derived variables</w:t>
            </w:r>
          </w:p>
        </w:tc>
        <w:tc>
          <w:tcPr/>
          <w:p>
            <w:pPr>
              <w:pStyle w:val="Compact"/>
              <w:jc w:val="left"/>
            </w:pPr>
            <w:r>
              <w:t xml:space="preserve">24-hour rolling PM2.5,</w:t>
            </w:r>
            <w:r>
              <w:t xml:space="preserve"> </w:t>
            </w:r>
            <w:r>
              <w:rPr>
                <w:rStyle w:val="VerbatimChar"/>
              </w:rPr>
              <w:t xml:space="preserve">LAeq_15min_dBA</w:t>
            </w:r>
            <w:r>
              <w:t xml:space="preserve">, crowding ratio</w:t>
            </w:r>
          </w:p>
        </w:tc>
      </w:tr>
      <w:tr>
        <w:tc>
          <w:tcPr/>
          <w:p>
            <w:pPr>
              <w:pStyle w:val="Compact"/>
              <w:jc w:val="left"/>
            </w:pPr>
            <w:r>
              <w:t xml:space="preserve">Risk and decision</w:t>
            </w:r>
          </w:p>
        </w:tc>
        <w:tc>
          <w:tcPr/>
          <w:p>
            <w:pPr>
              <w:pStyle w:val="Compact"/>
              <w:jc w:val="left"/>
            </w:pPr>
            <w:r>
              <w:t xml:space="preserve">Operational classifications and guidance</w:t>
            </w:r>
          </w:p>
        </w:tc>
        <w:tc>
          <w:tcPr/>
          <w:p>
            <w:pPr>
              <w:pStyle w:val="Compact"/>
              <w:jc w:val="left"/>
            </w:pPr>
            <w:r>
              <w:t xml:space="preserve">hazard levels, overall action level, messages, episode strategies</w:t>
            </w:r>
          </w:p>
        </w:tc>
      </w:tr>
    </w:tbl>
    <w:p>
      <w:pPr>
        <w:pStyle w:val="BodyText"/>
      </w:pPr>
      <w:r>
        <w:t xml:space="preserve">A value from a lower layer MUST remain available when a higher layer is generated from it.</w:t>
      </w:r>
    </w:p>
    <w:bookmarkEnd w:id="31"/>
    <w:bookmarkStart w:id="32" w:name="mandatory-pipeline"/>
    <w:p>
      <w:pPr>
        <w:pStyle w:val="Heading2"/>
      </w:pPr>
      <w:r>
        <w:t xml:space="preserve">3.2 Mandatory pipeline</w:t>
      </w:r>
    </w:p>
    <w:p>
      <w:pPr>
        <w:pStyle w:val="FirstParagraph"/>
      </w:pPr>
      <w:r>
        <w:t xml:space="preserve">The reference implementation SHALL execute the following stages in this order:</w:t>
      </w:r>
    </w:p>
    <w:p>
      <w:pPr>
        <w:numPr>
          <w:ilvl w:val="0"/>
          <w:numId w:val="1007"/>
        </w:numPr>
        <w:pStyle w:val="Compact"/>
      </w:pPr>
      <w:r>
        <w:t xml:space="preserve">Load, canonicalize, and validate the scenario.</w:t>
      </w:r>
    </w:p>
    <w:p>
      <w:pPr>
        <w:numPr>
          <w:ilvl w:val="0"/>
          <w:numId w:val="1007"/>
        </w:numPr>
        <w:pStyle w:val="Compact"/>
      </w:pPr>
      <w:r>
        <w:t xml:space="preserve">Initialize named random substreams.</w:t>
      </w:r>
    </w:p>
    <w:p>
      <w:pPr>
        <w:numPr>
          <w:ilvl w:val="0"/>
          <w:numId w:val="1007"/>
        </w:numPr>
        <w:pStyle w:val="Compact"/>
      </w:pPr>
      <w:r>
        <w:t xml:space="preserve">Build the time grid, calendar, and solar geometry.</w:t>
      </w:r>
    </w:p>
    <w:p>
      <w:pPr>
        <w:numPr>
          <w:ilvl w:val="0"/>
          <w:numId w:val="1007"/>
        </w:numPr>
        <w:pStyle w:val="Compact"/>
      </w:pPr>
      <w:r>
        <w:t xml:space="preserve">Generate cloud and precipitation state paths.</w:t>
      </w:r>
    </w:p>
    <w:p>
      <w:pPr>
        <w:numPr>
          <w:ilvl w:val="0"/>
          <w:numId w:val="1007"/>
        </w:numPr>
        <w:pStyle w:val="Compact"/>
      </w:pPr>
      <w:r>
        <w:t xml:space="preserve">Generate meteorological truth channels.</w:t>
      </w:r>
    </w:p>
    <w:p>
      <w:pPr>
        <w:numPr>
          <w:ilvl w:val="0"/>
          <w:numId w:val="1007"/>
        </w:numPr>
        <w:pStyle w:val="Compact"/>
      </w:pPr>
      <w:r>
        <w:t xml:space="preserve">Compute vapour pressure, relative humidity, and radiant-temperature inputs.</w:t>
      </w:r>
    </w:p>
    <w:p>
      <w:pPr>
        <w:numPr>
          <w:ilvl w:val="0"/>
          <w:numId w:val="1007"/>
        </w:numPr>
        <w:pStyle w:val="Compact"/>
      </w:pPr>
      <w:r>
        <w:t xml:space="preserve">Calculate mean radiant temperature and thermal indices (UTCI and, when enabled, WBGT).</w:t>
      </w:r>
    </w:p>
    <w:p>
      <w:pPr>
        <w:numPr>
          <w:ilvl w:val="0"/>
          <w:numId w:val="1007"/>
        </w:numPr>
        <w:pStyle w:val="Compact"/>
      </w:pPr>
      <w:r>
        <w:t xml:space="preserve">Generate the crowd-state path.</w:t>
      </w:r>
    </w:p>
    <w:p>
      <w:pPr>
        <w:numPr>
          <w:ilvl w:val="0"/>
          <w:numId w:val="1007"/>
        </w:numPr>
        <w:pStyle w:val="Compact"/>
      </w:pPr>
      <w:r>
        <w:t xml:space="preserve">Build the piecewise-constant offered-arrival intensity.</w:t>
      </w:r>
    </w:p>
    <w:p>
      <w:pPr>
        <w:numPr>
          <w:ilvl w:val="0"/>
          <w:numId w:val="1007"/>
        </w:numPr>
        <w:pStyle w:val="Compact"/>
      </w:pPr>
      <w:r>
        <w:t xml:space="preserve">Generate exact offered-arrival event times.</w:t>
      </w:r>
    </w:p>
    <w:p>
      <w:pPr>
        <w:numPr>
          <w:ilvl w:val="0"/>
          <w:numId w:val="1007"/>
        </w:numPr>
        <w:pStyle w:val="Compact"/>
      </w:pPr>
      <w:r>
        <w:t xml:space="preserve">Apply admission/capacity policy.</w:t>
      </w:r>
    </w:p>
    <w:p>
      <w:pPr>
        <w:numPr>
          <w:ilvl w:val="0"/>
          <w:numId w:val="1007"/>
        </w:numPr>
        <w:pStyle w:val="Compact"/>
      </w:pPr>
      <w:r>
        <w:t xml:space="preserve">Assign dwell time and persistent audience segment to admitted visitors.</w:t>
      </w:r>
    </w:p>
    <w:p>
      <w:pPr>
        <w:numPr>
          <w:ilvl w:val="0"/>
          <w:numId w:val="1007"/>
        </w:numPr>
        <w:pStyle w:val="Compact"/>
      </w:pPr>
      <w:r>
        <w:t xml:space="preserve">Reconstruct occupancy and per-audience occupancy.</w:t>
      </w:r>
    </w:p>
    <w:p>
      <w:pPr>
        <w:numPr>
          <w:ilvl w:val="0"/>
          <w:numId w:val="1007"/>
        </w:numPr>
        <w:pStyle w:val="Compact"/>
      </w:pPr>
      <w:r>
        <w:t xml:space="preserve">Generate traffic flow and species-specific emissions.</w:t>
      </w:r>
    </w:p>
    <w:p>
      <w:pPr>
        <w:numPr>
          <w:ilvl w:val="0"/>
          <w:numId w:val="1007"/>
        </w:numPr>
        <w:pStyle w:val="Compact"/>
      </w:pPr>
      <w:r>
        <w:t xml:space="preserve">Integrate pollutant physical concentrations.</w:t>
      </w:r>
    </w:p>
    <w:p>
      <w:pPr>
        <w:numPr>
          <w:ilvl w:val="0"/>
          <w:numId w:val="1007"/>
        </w:numPr>
        <w:pStyle w:val="Compact"/>
      </w:pPr>
      <w:r>
        <w:t xml:space="preserve">Generate pollutant sensor observations.</w:t>
      </w:r>
    </w:p>
    <w:p>
      <w:pPr>
        <w:numPr>
          <w:ilvl w:val="0"/>
          <w:numId w:val="1007"/>
        </w:numPr>
        <w:pStyle w:val="Compact"/>
      </w:pPr>
      <w:r>
        <w:t xml:space="preserve">Generate source sound energies and rolling</w:t>
      </w:r>
      <w:r>
        <w:t xml:space="preserve"> </w:t>
      </w:r>
      <m:oMath>
        <m:sSub>
          <m:e>
            <m:r>
              <m:t>L</m:t>
            </m:r>
          </m:e>
          <m:sub>
            <m:r>
              <m:t>A</m:t>
            </m:r>
            <m:r>
              <m:t>e</m:t>
            </m:r>
            <m:r>
              <m:t>q</m:t>
            </m:r>
            <m:r>
              <m:rPr>
                <m:sty m:val="p"/>
              </m:rPr>
              <m:t>,</m:t>
            </m:r>
            <m:r>
              <m:t>T</m:t>
            </m:r>
          </m:sub>
        </m:sSub>
      </m:oMath>
      <w:r>
        <w:t xml:space="preserve">.</w:t>
      </w:r>
    </w:p>
    <w:p>
      <w:pPr>
        <w:numPr>
          <w:ilvl w:val="0"/>
          <w:numId w:val="1007"/>
        </w:numPr>
        <w:pStyle w:val="Compact"/>
      </w:pPr>
      <w:r>
        <w:t xml:space="preserve">Calculate complete-window rolling exposure features.</w:t>
      </w:r>
    </w:p>
    <w:p>
      <w:pPr>
        <w:numPr>
          <w:ilvl w:val="0"/>
          <w:numId w:val="1007"/>
        </w:numPr>
        <w:pStyle w:val="Compact"/>
      </w:pPr>
      <w:r>
        <w:t xml:space="preserve">Calculate hazard components, overall action level, and per-step communication.</w:t>
      </w:r>
    </w:p>
    <w:p>
      <w:pPr>
        <w:numPr>
          <w:ilvl w:val="0"/>
          <w:numId w:val="1007"/>
        </w:numPr>
        <w:pStyle w:val="Compact"/>
      </w:pPr>
      <w:r>
        <w:t xml:space="preserve">Construct risk episodes and strategy objects.</w:t>
      </w:r>
    </w:p>
    <w:p>
      <w:pPr>
        <w:numPr>
          <w:ilvl w:val="0"/>
          <w:numId w:val="1007"/>
        </w:numPr>
        <w:pStyle w:val="Compact"/>
      </w:pPr>
      <w:r>
        <w:t xml:space="preserve">Run validation.</w:t>
      </w:r>
    </w:p>
    <w:p>
      <w:pPr>
        <w:numPr>
          <w:ilvl w:val="0"/>
          <w:numId w:val="1007"/>
        </w:numPr>
        <w:pStyle w:val="Compact"/>
      </w:pPr>
      <w:r>
        <w:t xml:space="preserve">Serialize artifacts canonically and calculate hashes.</w:t>
      </w:r>
    </w:p>
    <w:p>
      <w:pPr>
        <w:pStyle w:val="FirstParagraph"/>
      </w:pPr>
      <w:r>
        <w:t xml:space="preserve">Stage 7 makes the thermal indices available to the arrival-deterrence factor of Section 6.9; the risk layer of Section 8 reuses the same stored per-interval values unchanged.</w:t>
      </w:r>
    </w:p>
    <w:p>
      <w:pPr>
        <w:pStyle w:val="BodyText"/>
      </w:pPr>
      <w:r>
        <w:t xml:space="preserve">Changing this order constitutes an algorithm-version change and MUST update</w:t>
      </w:r>
      <w:r>
        <w:t xml:space="preserve"> </w:t>
      </w:r>
      <w:r>
        <w:rPr>
          <w:rStyle w:val="VerbatimChar"/>
        </w:rPr>
        <w:t xml:space="preserve">algorithm_version</w:t>
      </w:r>
      <w:r>
        <w:t xml:space="preserve">.</w:t>
      </w:r>
    </w:p>
    <w:bookmarkEnd w:id="32"/>
    <w:bookmarkStart w:id="33" w:name="time-grid-semantics"/>
    <w:p>
      <w:pPr>
        <w:pStyle w:val="Heading2"/>
      </w:pPr>
      <w:r>
        <w:t xml:space="preserve">3.3 Time-grid semantics</w:t>
      </w:r>
    </w:p>
    <w:p>
      <w:pPr>
        <w:pStyle w:val="FirstParagraph"/>
      </w:pPr>
      <w:r>
        <w:t xml:space="preserve">Let the scenario begin at</w:t>
      </w:r>
      <w:r>
        <w:t xml:space="preserve"> </w:t>
      </w:r>
      <m:oMath>
        <m:sSub>
          <m:e>
            <m:r>
              <m:t>t</m:t>
            </m:r>
          </m:e>
          <m:sub>
            <m:r>
              <m:t>0</m:t>
            </m:r>
          </m:sub>
        </m:sSub>
      </m:oMath>
      <w:r>
        <w:t xml:space="preserve">, contain</w:t>
      </w:r>
      <w:r>
        <w:t xml:space="preserve"> </w:t>
      </w:r>
      <m:oMath>
        <m:r>
          <m:t>n</m:t>
        </m:r>
      </m:oMath>
      <w:r>
        <w:t xml:space="preserve"> </w:t>
      </w:r>
      <w:r>
        <w:t xml:space="preserve">output rows, and have a fixed interval</w:t>
      </w:r>
      <w:r>
        <w:t xml:space="preserve"> </w:t>
      </w:r>
      <m:oMath>
        <m:r>
          <m:t>Δ</m:t>
        </m:r>
        <m:r>
          <m:t>t</m:t>
        </m:r>
      </m:oMath>
      <w:r>
        <w:t xml:space="preserve">. Row</w:t>
      </w:r>
      <w:r>
        <w:t xml:space="preserve"> </w:t>
      </w:r>
      <m:oMath>
        <m:r>
          <m:t>j</m:t>
        </m:r>
      </m:oMath>
      <w:r>
        <w:t xml:space="preserve"> </w:t>
      </w:r>
      <w:r>
        <w:t xml:space="preserve">represents the half-open interval from</w:t>
      </w:r>
      <w:r>
        <w:t xml:space="preserve"> </w:t>
      </w:r>
      <m:oMath>
        <m:sSub>
          <m:e>
            <m:r>
              <m:t>t</m:t>
            </m:r>
          </m:e>
          <m:sub>
            <m:r>
              <m:t>j</m:t>
            </m:r>
          </m:sub>
        </m:sSub>
      </m:oMath>
      <w:r>
        <w:t xml:space="preserve"> </w:t>
      </w:r>
      <w:r>
        <w:t xml:space="preserve">(inclusive) to</w:t>
      </w:r>
      <w:r>
        <w:t xml:space="preserve"> </w:t>
      </w:r>
      <m:oMath>
        <m:sSub>
          <m:e>
            <m:r>
              <m:t>t</m:t>
            </m:r>
          </m:e>
          <m:sub>
            <m:r>
              <m:t>j</m:t>
            </m:r>
            <m:r>
              <m:rPr>
                <m:sty m:val="p"/>
              </m:rPr>
              <m:t>+</m:t>
            </m:r>
            <m:r>
              <m:t>1</m:t>
            </m:r>
          </m:sub>
        </m:sSub>
      </m:oMath>
      <w:r>
        <w:t xml:space="preserve"> </w:t>
      </w:r>
      <w:r>
        <w:t xml:space="preserve">(exclusive), where</w:t>
      </w:r>
    </w:p>
    <w:p>
      <w:pPr>
        <w:pStyle w:val="BodyText"/>
      </w:pPr>
      <m:oMathPara>
        <m:oMathParaPr>
          <m:jc m:val="center"/>
        </m:oMathParaPr>
        <m:oMath>
          <m:sSub>
            <m:e>
              <m:r>
                <m:t>t</m:t>
              </m:r>
            </m:e>
            <m:sub>
              <m:r>
                <m:t>j</m:t>
              </m:r>
            </m:sub>
          </m:sSub>
          <m:r>
            <m:rPr>
              <m:sty m:val="p"/>
            </m:rPr>
            <m:t>=</m:t>
          </m:r>
          <m:sSub>
            <m:e>
              <m:r>
                <m:t>t</m:t>
              </m:r>
            </m:e>
            <m:sub>
              <m:r>
                <m:t>0</m:t>
              </m:r>
            </m:sub>
          </m:sSub>
          <m:r>
            <m:rPr>
              <m:sty m:val="p"/>
            </m:rPr>
            <m:t>+</m:t>
          </m:r>
          <m:r>
            <m:t>j</m:t>
          </m:r>
          <m:r>
            <m:t> </m:t>
          </m:r>
          <m:r>
            <m:t>Δ</m:t>
          </m:r>
          <m:r>
            <m:t>t</m:t>
          </m:r>
          <m:r>
            <m:rPr>
              <m:sty m:val="p"/>
            </m:rPr>
            <m:t>.</m:t>
          </m:r>
        </m:oMath>
      </m:oMathPara>
    </w:p>
    <w:p>
      <w:pPr>
        <w:pStyle w:val="FirstParagraph"/>
      </w:pPr>
      <w:r>
        <w:t xml:space="preserve">The CSV timestamp is the interval start. State variables are sampled at the interval end unless their field definition says otherwise. Interval totals, such as arrivals, count events in the half-open interval. Rolling windows are right-closed at the row’s evaluation time and use exact duration weighting.</w:t>
      </w:r>
    </w:p>
    <w:p>
      <w:pPr>
        <w:pStyle w:val="BodyText"/>
      </w:pPr>
      <w:r>
        <w:rPr>
          <w:iCs/>
          <w:i/>
        </w:rPr>
        <w:t xml:space="preserve">Worked example (informative).</w:t>
      </w:r>
      <w:r>
        <w:t xml:space="preserve"> </w:t>
      </w:r>
      <w:r>
        <w:t xml:space="preserve">With</w:t>
      </w:r>
      <w:r>
        <w:t xml:space="preserve"> </w:t>
      </w:r>
      <m:oMath>
        <m:sSub>
          <m:e>
            <m:r>
              <m:t>t</m:t>
            </m:r>
          </m:e>
          <m:sub>
            <m:r>
              <m:t>0</m:t>
            </m:r>
          </m:sub>
        </m:sSub>
      </m:oMath>
      <w:r>
        <w:t xml:space="preserve"> </w:t>
      </w:r>
      <w:r>
        <w:t xml:space="preserve">= 08:00:00 and</w:t>
      </w:r>
      <w:r>
        <w:t xml:space="preserve"> </w:t>
      </w:r>
      <m:oMath>
        <m:r>
          <m:t>Δ</m:t>
        </m:r>
        <m:r>
          <m:t>t</m:t>
        </m:r>
      </m:oMath>
      <w:r>
        <w:t xml:space="preserve"> </w:t>
      </w:r>
      <w:r>
        <w:t xml:space="preserve">= 900 s, row 3 carries timestamp 08:45:00, represents the interval [08:45:00, 09:00:00), reports state variables sampled at 09:00:00, and counts arrival events that occurred inside that half-open interval.</w:t>
      </w:r>
    </w:p>
    <w:p>
      <w:pPr>
        <w:pStyle w:val="BodyText"/>
      </w:pPr>
      <w:r>
        <w:t xml:space="preserve">Timestamps MUST use ISO 8601 with an explicit UTC offset. Internal calculations SHOULD use integer microseconds since the Unix epoch to avoid cumulative floating-point clock drift.</w:t>
      </w:r>
    </w:p>
    <w:bookmarkEnd w:id="33"/>
    <w:bookmarkEnd w:id="34"/>
    <w:bookmarkStart w:id="38" w:name="units-numerical-rules-and-error-policy"/>
    <w:p>
      <w:pPr>
        <w:pStyle w:val="Heading1"/>
      </w:pPr>
      <w:r>
        <w:t xml:space="preserve">4. Units, numerical rules, and error policy</w:t>
      </w:r>
    </w:p>
    <w:bookmarkStart w:id="35" w:name="canonical-units"/>
    <w:p>
      <w:pPr>
        <w:pStyle w:val="Heading2"/>
      </w:pPr>
      <w:r>
        <w:t xml:space="preserve">4.1 Canonical units</w:t>
      </w:r>
    </w:p>
    <w:tbl>
      <w:tblPr>
        <w:tblStyle w:val="Table"/>
        <w:tblW w:type="pct" w:w="5000"/>
        <w:tblLook w:firstRow="1" w:lastRow="0" w:firstColumn="0" w:lastColumn="0" w:noHBand="0" w:noVBand="0" w:val="0020"/>
        <w:jc w:val="start"/>
      </w:tblPr>
      <w:tblGrid>
        <w:gridCol w:w="3960"/>
        <w:gridCol w:w="3960"/>
      </w:tblGrid>
      <w:tr>
        <w:trPr>
          <w:tblHeader w:val="true"/>
        </w:trPr>
        <w:tc>
          <w:tcPr/>
          <w:p>
            <w:pPr>
              <w:pStyle w:val="Compact"/>
              <w:jc w:val="left"/>
            </w:pPr>
            <w:r>
              <w:t xml:space="preserve">Quantity</w:t>
            </w:r>
          </w:p>
        </w:tc>
        <w:tc>
          <w:tcPr/>
          <w:p>
            <w:pPr>
              <w:pStyle w:val="Compact"/>
              <w:jc w:val="left"/>
            </w:pPr>
            <w:r>
              <w:t xml:space="preserve">Canonical unit</w:t>
            </w:r>
          </w:p>
        </w:tc>
      </w:tr>
      <w:tr>
        <w:tc>
          <w:tcPr/>
          <w:p>
            <w:pPr>
              <w:pStyle w:val="Compact"/>
              <w:jc w:val="left"/>
            </w:pPr>
            <w:r>
              <w:t xml:space="preserve">Air and radiant temperature</w:t>
            </w:r>
          </w:p>
        </w:tc>
        <w:tc>
          <w:tcPr/>
          <w:p>
            <w:pPr>
              <w:pStyle w:val="Compact"/>
              <w:jc w:val="left"/>
            </w:pPr>
            <w:r>
              <w:t xml:space="preserve">degree Celsius</w:t>
            </w:r>
          </w:p>
        </w:tc>
      </w:tr>
      <w:tr>
        <w:tc>
          <w:tcPr/>
          <w:p>
            <w:pPr>
              <w:pStyle w:val="Compact"/>
              <w:jc w:val="left"/>
            </w:pPr>
            <w:r>
              <w:t xml:space="preserve">Temperature differences</w:t>
            </w:r>
          </w:p>
        </w:tc>
        <w:tc>
          <w:tcPr/>
          <w:p>
            <w:pPr>
              <w:pStyle w:val="Compact"/>
              <w:jc w:val="left"/>
            </w:pPr>
            <w:r>
              <w:t xml:space="preserve">kelvin</w:t>
            </w:r>
          </w:p>
        </w:tc>
      </w:tr>
      <w:tr>
        <w:tc>
          <w:tcPr/>
          <w:p>
            <w:pPr>
              <w:pStyle w:val="Compact"/>
              <w:jc w:val="left"/>
            </w:pPr>
            <w:r>
              <w:t xml:space="preserve">Wind speed</w:t>
            </w:r>
          </w:p>
        </w:tc>
        <w:tc>
          <w:tcPr/>
          <w:p>
            <w:pPr>
              <w:pStyle w:val="Compact"/>
              <w:jc w:val="left"/>
            </w:pPr>
            <w:r>
              <w:t xml:space="preserve">m/s</w:t>
            </w:r>
          </w:p>
        </w:tc>
      </w:tr>
      <w:tr>
        <w:tc>
          <w:tcPr/>
          <w:p>
            <w:pPr>
              <w:pStyle w:val="Compact"/>
              <w:jc w:val="left"/>
            </w:pPr>
            <w:r>
              <w:t xml:space="preserve">Pressure and vapour pressure in meteorology</w:t>
            </w:r>
          </w:p>
        </w:tc>
        <w:tc>
          <w:tcPr/>
          <w:p>
            <w:pPr>
              <w:pStyle w:val="Compact"/>
              <w:jc w:val="left"/>
            </w:pPr>
            <w:r>
              <w:t xml:space="preserve">Pa</w:t>
            </w:r>
          </w:p>
        </w:tc>
      </w:tr>
      <w:tr>
        <w:tc>
          <w:tcPr/>
          <w:p>
            <w:pPr>
              <w:pStyle w:val="Compact"/>
              <w:jc w:val="left"/>
            </w:pPr>
            <w:r>
              <w:t xml:space="preserve">Vapour pressure passed to UTCI polynomial</w:t>
            </w:r>
          </w:p>
        </w:tc>
        <w:tc>
          <w:tcPr/>
          <w:p>
            <w:pPr>
              <w:pStyle w:val="Compact"/>
              <w:jc w:val="left"/>
            </w:pPr>
            <w:r>
              <w:t xml:space="preserve">kPa</w:t>
            </w:r>
          </w:p>
        </w:tc>
      </w:tr>
      <w:tr>
        <w:tc>
          <w:tcPr/>
          <w:p>
            <w:pPr>
              <w:pStyle w:val="Compact"/>
              <w:jc w:val="left"/>
            </w:pPr>
            <w:r>
              <w:t xml:space="preserve">PM2.5 and NO2 concentration</w:t>
            </w:r>
          </w:p>
        </w:tc>
        <w:tc>
          <w:tcPr/>
          <w:p>
            <w:pPr>
              <w:pStyle w:val="Compact"/>
              <w:jc w:val="left"/>
            </w:pPr>
            <w:r>
              <w:t xml:space="preserve">microgram/m3</w:t>
            </w:r>
          </w:p>
        </w:tc>
      </w:tr>
      <w:tr>
        <w:tc>
          <w:tcPr/>
          <w:p>
            <w:pPr>
              <w:pStyle w:val="Compact"/>
              <w:jc w:val="left"/>
            </w:pPr>
            <w:r>
              <w:t xml:space="preserve">Pollutant emission</w:t>
            </w:r>
          </w:p>
        </w:tc>
        <w:tc>
          <w:tcPr/>
          <w:p>
            <w:pPr>
              <w:pStyle w:val="Compact"/>
              <w:jc w:val="left"/>
            </w:pPr>
            <w:r>
              <w:t xml:space="preserve">microgram/s</w:t>
            </w:r>
          </w:p>
        </w:tc>
      </w:tr>
      <w:tr>
        <w:tc>
          <w:tcPr/>
          <w:p>
            <w:pPr>
              <w:pStyle w:val="Compact"/>
              <w:jc w:val="left"/>
            </w:pPr>
            <w:r>
              <w:t xml:space="preserve">Geometry</w:t>
            </w:r>
          </w:p>
        </w:tc>
        <w:tc>
          <w:tcPr/>
          <w:p>
            <w:pPr>
              <w:pStyle w:val="Compact"/>
              <w:jc w:val="left"/>
            </w:pPr>
            <w:r>
              <w:t xml:space="preserve">m, m2, m3</w:t>
            </w:r>
          </w:p>
        </w:tc>
      </w:tr>
      <w:tr>
        <w:tc>
          <w:tcPr/>
          <w:p>
            <w:pPr>
              <w:pStyle w:val="Compact"/>
              <w:jc w:val="left"/>
            </w:pPr>
            <w:r>
              <w:t xml:space="preserve">Precipitation intensity</w:t>
            </w:r>
          </w:p>
        </w:tc>
        <w:tc>
          <w:tcPr/>
          <w:p>
            <w:pPr>
              <w:pStyle w:val="Compact"/>
              <w:jc w:val="left"/>
            </w:pPr>
            <w:r>
              <w:t xml:space="preserve">mm/h</w:t>
            </w:r>
          </w:p>
        </w:tc>
      </w:tr>
      <w:tr>
        <w:tc>
          <w:tcPr/>
          <w:p>
            <w:pPr>
              <w:pStyle w:val="Compact"/>
              <w:jc w:val="left"/>
            </w:pPr>
            <w:r>
              <w:t xml:space="preserve">Arrival intensity</w:t>
            </w:r>
          </w:p>
        </w:tc>
        <w:tc>
          <w:tcPr/>
          <w:p>
            <w:pPr>
              <w:pStyle w:val="Compact"/>
              <w:jc w:val="left"/>
            </w:pPr>
            <w:r>
              <w:t xml:space="preserve">persons/h</w:t>
            </w:r>
          </w:p>
        </w:tc>
      </w:tr>
      <w:tr>
        <w:tc>
          <w:tcPr/>
          <w:p>
            <w:pPr>
              <w:pStyle w:val="Compact"/>
              <w:jc w:val="left"/>
            </w:pPr>
            <w:r>
              <w:t xml:space="preserve">Dwell/exposure duration</w:t>
            </w:r>
          </w:p>
        </w:tc>
        <w:tc>
          <w:tcPr/>
          <w:p>
            <w:pPr>
              <w:pStyle w:val="Compact"/>
              <w:jc w:val="left"/>
            </w:pPr>
            <w:r>
              <w:t xml:space="preserve">s internally; min in human-facing summaries</w:t>
            </w:r>
          </w:p>
        </w:tc>
      </w:tr>
      <w:tr>
        <w:tc>
          <w:tcPr/>
          <w:p>
            <w:pPr>
              <w:pStyle w:val="Compact"/>
              <w:jc w:val="left"/>
            </w:pPr>
            <w:r>
              <w:t xml:space="preserve">Noise</w:t>
            </w:r>
          </w:p>
        </w:tc>
        <w:tc>
          <w:tcPr/>
          <w:p>
            <w:pPr>
              <w:pStyle w:val="Compact"/>
              <w:jc w:val="left"/>
            </w:pPr>
            <w:r>
              <w:t xml:space="preserve">dB(A), with declared averaging time</w:t>
            </w:r>
          </w:p>
        </w:tc>
      </w:tr>
    </w:tbl>
    <w:p>
      <w:pPr>
        <w:pStyle w:val="BodyText"/>
      </w:pPr>
      <w:r>
        <w:t xml:space="preserve">All JSON configuration fields MUST carry units either in the field name or in adjacent metadata. Unit conversion MUST occur once, at a documented boundary.</w:t>
      </w:r>
    </w:p>
    <w:bookmarkEnd w:id="35"/>
    <w:bookmarkStart w:id="36" w:name="numeric-domain-policy"/>
    <w:p>
      <w:pPr>
        <w:pStyle w:val="Heading2"/>
      </w:pPr>
      <w:r>
        <w:t xml:space="preserve">4.2 Numeric domain policy</w:t>
      </w:r>
    </w:p>
    <w:p>
      <w:pPr>
        <w:pStyle w:val="FirstParagraph"/>
      </w:pPr>
      <w:r>
        <w:t xml:space="preserve">Every input field SHALL define one of these policies:</w:t>
      </w:r>
    </w:p>
    <w:p>
      <w:pPr>
        <w:numPr>
          <w:ilvl w:val="0"/>
          <w:numId w:val="1008"/>
        </w:numPr>
        <w:pStyle w:val="Compact"/>
      </w:pPr>
      <w:r>
        <w:rPr>
          <w:rStyle w:val="VerbatimChar"/>
        </w:rPr>
        <w:t xml:space="preserve">reject</w:t>
      </w:r>
      <w:r>
        <w:t xml:space="preserve">: abort generation with a structured error;</w:t>
      </w:r>
    </w:p>
    <w:p>
      <w:pPr>
        <w:numPr>
          <w:ilvl w:val="0"/>
          <w:numId w:val="1008"/>
        </w:numPr>
        <w:pStyle w:val="Compact"/>
      </w:pPr>
      <w:r>
        <w:rPr>
          <w:rStyle w:val="VerbatimChar"/>
        </w:rPr>
        <w:t xml:space="preserve">clamp_and_flag</w:t>
      </w:r>
      <w:r>
        <w:t xml:space="preserve">: clamp to a declared domain and emit a flag;</w:t>
      </w:r>
    </w:p>
    <w:p>
      <w:pPr>
        <w:numPr>
          <w:ilvl w:val="0"/>
          <w:numId w:val="1008"/>
        </w:numPr>
        <w:pStyle w:val="Compact"/>
      </w:pPr>
      <w:r>
        <w:rPr>
          <w:rStyle w:val="VerbatimChar"/>
        </w:rPr>
        <w:t xml:space="preserve">allow_with_warning</w:t>
      </w:r>
      <w:r>
        <w:t xml:space="preserve">: retain the value and record a warning.</w:t>
      </w:r>
    </w:p>
    <w:p>
      <w:pPr>
        <w:pStyle w:val="FirstParagraph"/>
      </w:pPr>
      <w:r>
        <w:t xml:space="preserve">Scientific formula inputs MUST NOT be silently clamped.</w:t>
      </w:r>
    </w:p>
    <w:bookmarkEnd w:id="36"/>
    <w:bookmarkStart w:id="37" w:name="floating-point-requirements"/>
    <w:p>
      <w:pPr>
        <w:pStyle w:val="Heading2"/>
      </w:pPr>
      <w:r>
        <w:t xml:space="preserve">4.3 Floating-point requirements</w:t>
      </w:r>
    </w:p>
    <w:p>
      <w:pPr>
        <w:pStyle w:val="FirstParagraph"/>
      </w:pPr>
      <w:r>
        <w:t xml:space="preserve">The reference runtime MUST be 64-bit and use IEEE 754 binary64 arithmetic. Non-finite values are forbidden in output artifacts. The serializer SHALL reject</w:t>
      </w:r>
      <w:r>
        <w:t xml:space="preserve"> </w:t>
      </w:r>
      <w:r>
        <w:rPr>
          <w:rStyle w:val="VerbatimChar"/>
        </w:rPr>
        <w:t xml:space="preserve">NaN</w:t>
      </w:r>
      <w:r>
        <w:t xml:space="preserve">,</w:t>
      </w:r>
      <w:r>
        <w:t xml:space="preserve"> </w:t>
      </w:r>
      <w:r>
        <w:rPr>
          <w:rStyle w:val="VerbatimChar"/>
        </w:rPr>
        <w:t xml:space="preserve">+INF</w:t>
      </w:r>
      <w:r>
        <w:t xml:space="preserve">, and</w:t>
      </w:r>
      <w:r>
        <w:t xml:space="preserve"> </w:t>
      </w:r>
      <w:r>
        <w:rPr>
          <w:rStyle w:val="VerbatimChar"/>
        </w:rPr>
        <w:t xml:space="preserve">-INF</w:t>
      </w:r>
      <w:r>
        <w:t xml:space="preserve">.</w:t>
      </w:r>
    </w:p>
    <w:p>
      <w:pPr>
        <w:pStyle w:val="BodyText"/>
      </w:pPr>
      <w:r>
        <w:t xml:space="preserve">Exact cross-runtime equality is not claimed for transcendental functions. Section 13 defines the reproducibility contract.</w:t>
      </w:r>
    </w:p>
    <w:bookmarkEnd w:id="37"/>
    <w:bookmarkEnd w:id="38"/>
    <w:bookmarkStart w:id="46" w:name="randomness-and-core-statistical-engine"/>
    <w:p>
      <w:pPr>
        <w:pStyle w:val="Heading1"/>
      </w:pPr>
      <w:r>
        <w:t xml:space="preserve">5. Randomness and core statistical engine</w:t>
      </w:r>
    </w:p>
    <w:bookmarkStart w:id="39" w:name="master-seed-and-named-substreams"/>
    <w:p>
      <w:pPr>
        <w:pStyle w:val="Heading2"/>
      </w:pPr>
      <w:r>
        <w:t xml:space="preserve">5.1 Master seed and named substreams</w:t>
      </w:r>
    </w:p>
    <w:p>
      <w:pPr>
        <w:pStyle w:val="FirstParagraph"/>
      </w:pPr>
      <w:r>
        <w:rPr>
          <w:rStyle w:val="VerbatimChar"/>
        </w:rPr>
        <w:t xml:space="preserve">master_seed</w:t>
      </w:r>
      <w:r>
        <w:t xml:space="preserve"> </w:t>
      </w:r>
      <w:r>
        <w:t xml:space="preserve">SHALL be stored as a decimal string, not a native integer. Each component uses a deterministic 32-bit seed derived as follows:</w:t>
      </w:r>
    </w:p>
    <w:p>
      <w:pPr>
        <w:pStyle w:val="SourceCode"/>
      </w:pPr>
      <w:r>
        <w:rPr>
          <w:rStyle w:val="VerbatimChar"/>
        </w:rPr>
        <w:t xml:space="preserve">salt     = "IoTSyn/v4.3.0"        (stream_derivation_version 1)</w:t>
      </w:r>
      <w:r>
        <w:br/>
      </w:r>
      <w:r>
        <w:rPr>
          <w:rStyle w:val="VerbatimChar"/>
        </w:rPr>
        <w:t xml:space="preserve">material = UTF8(salt + "|" + master_seed + "|" + stream_name)</w:t>
      </w:r>
      <w:r>
        <w:br/>
      </w:r>
      <w:r>
        <w:rPr>
          <w:rStyle w:val="VerbatimChar"/>
        </w:rPr>
        <w:t xml:space="preserve">digest   = SHA256(material) as 32 raw bytes</w:t>
      </w:r>
      <w:r>
        <w:br/>
      </w:r>
      <w:r>
        <w:rPr>
          <w:rStyle w:val="VerbatimChar"/>
        </w:rPr>
        <w:t xml:space="preserve">seed32   = unsigned big-endian integer represented by digest[0:4]</w:t>
      </w:r>
    </w:p>
    <w:p>
      <w:pPr>
        <w:pStyle w:val="FirstParagraph"/>
      </w:pPr>
      <w:r>
        <w:t xml:space="preserve">The salt is a pinned constant identified by</w:t>
      </w:r>
      <w:r>
        <w:t xml:space="preserve"> </w:t>
      </w:r>
      <w:r>
        <w:rPr>
          <w:rStyle w:val="VerbatimChar"/>
        </w:rPr>
        <w:t xml:space="preserve">stream_derivation_version</w:t>
      </w:r>
      <w:r>
        <w:t xml:space="preserve">. It changes only when the derivation scheme itself changes; it does NOT track the document version, so editorial revisions never silently re-seed every stream.</w:t>
      </w:r>
    </w:p>
    <w:p>
      <w:pPr>
        <w:pStyle w:val="BodyText"/>
      </w:pPr>
      <w:r>
        <w:t xml:space="preserve">The Core profile defines these stream names:</w:t>
      </w:r>
    </w:p>
    <w:p>
      <w:pPr>
        <w:pStyle w:val="SourceCode"/>
      </w:pPr>
      <w:r>
        <w:rPr>
          <w:rStyle w:val="VerbatimChar"/>
        </w:rPr>
        <w:t xml:space="preserve">meteorology.cloud</w:t>
      </w:r>
      <w:r>
        <w:br/>
      </w:r>
      <w:r>
        <w:rPr>
          <w:rStyle w:val="VerbatimChar"/>
        </w:rPr>
        <w:t xml:space="preserve">meteorology.precipitation</w:t>
      </w:r>
      <w:r>
        <w:br/>
      </w:r>
      <w:r>
        <w:rPr>
          <w:rStyle w:val="VerbatimChar"/>
        </w:rPr>
        <w:t xml:space="preserve">meteorology.temperature</w:t>
      </w:r>
      <w:r>
        <w:br/>
      </w:r>
      <w:r>
        <w:rPr>
          <w:rStyle w:val="VerbatimChar"/>
        </w:rPr>
        <w:t xml:space="preserve">meteorology.humidity</w:t>
      </w:r>
      <w:r>
        <w:br/>
      </w:r>
      <w:r>
        <w:rPr>
          <w:rStyle w:val="VerbatimChar"/>
        </w:rPr>
        <w:t xml:space="preserve">meteorology.wind</w:t>
      </w:r>
      <w:r>
        <w:br/>
      </w:r>
      <w:r>
        <w:rPr>
          <w:rStyle w:val="VerbatimChar"/>
        </w:rPr>
        <w:t xml:space="preserve">crowd.state</w:t>
      </w:r>
      <w:r>
        <w:br/>
      </w:r>
      <w:r>
        <w:rPr>
          <w:rStyle w:val="VerbatimChar"/>
        </w:rPr>
        <w:t xml:space="preserve">crowd.arrivals</w:t>
      </w:r>
      <w:r>
        <w:br/>
      </w:r>
      <w:r>
        <w:rPr>
          <w:rStyle w:val="VerbatimChar"/>
        </w:rPr>
        <w:t xml:space="preserve">crowd.dwell</w:t>
      </w:r>
      <w:r>
        <w:br/>
      </w:r>
      <w:r>
        <w:rPr>
          <w:rStyle w:val="VerbatimChar"/>
        </w:rPr>
        <w:t xml:space="preserve">crowd.audience</w:t>
      </w:r>
      <w:r>
        <w:br/>
      </w:r>
      <w:r>
        <w:rPr>
          <w:rStyle w:val="VerbatimChar"/>
        </w:rPr>
        <w:t xml:space="preserve">traffic.flow</w:t>
      </w:r>
      <w:r>
        <w:br/>
      </w:r>
      <w:r>
        <w:rPr>
          <w:rStyle w:val="VerbatimChar"/>
        </w:rPr>
        <w:t xml:space="preserve">pollutant.pm25.source</w:t>
      </w:r>
      <w:r>
        <w:br/>
      </w:r>
      <w:r>
        <w:rPr>
          <w:rStyle w:val="VerbatimChar"/>
        </w:rPr>
        <w:t xml:space="preserve">pollutant.pm25.observation</w:t>
      </w:r>
      <w:r>
        <w:br/>
      </w:r>
      <w:r>
        <w:rPr>
          <w:rStyle w:val="VerbatimChar"/>
        </w:rPr>
        <w:t xml:space="preserve">pollutant.no2.source</w:t>
      </w:r>
      <w:r>
        <w:br/>
      </w:r>
      <w:r>
        <w:rPr>
          <w:rStyle w:val="VerbatimChar"/>
        </w:rPr>
        <w:t xml:space="preserve">pollutant.no2.observation</w:t>
      </w:r>
      <w:r>
        <w:br/>
      </w:r>
      <w:r>
        <w:rPr>
          <w:rStyle w:val="VerbatimChar"/>
        </w:rPr>
        <w:t xml:space="preserve">acoustics.residual</w:t>
      </w:r>
      <w:r>
        <w:br/>
      </w:r>
      <w:r>
        <w:rPr>
          <w:rStyle w:val="VerbatimChar"/>
        </w:rPr>
        <w:t xml:space="preserve">validation.bootstrap</w:t>
      </w:r>
    </w:p>
    <w:p>
      <w:pPr>
        <w:pStyle w:val="FirstParagraph"/>
      </w:pPr>
      <w:r>
        <w:t xml:space="preserve">A new component MUST receive a new stream name and MUST NOT consume values from an existing stream.</w:t>
      </w:r>
    </w:p>
    <w:bookmarkEnd w:id="39"/>
    <w:bookmarkStart w:id="40" w:name="mt19937"/>
    <w:p>
      <w:pPr>
        <w:pStyle w:val="Heading2"/>
      </w:pPr>
      <w:r>
        <w:t xml:space="preserve">5.2 MT19937</w:t>
      </w:r>
    </w:p>
    <w:p>
      <w:pPr>
        <w:pStyle w:val="FirstParagraph"/>
      </w:pPr>
      <w:r>
        <w:t xml:space="preserve">The generator SHALL implement the original 32-bit MT19937 recurrence with a 624-word state. All intermediate state operations SHALL be reduced to unsigned 32 bits, and seeding SHALL use the Knuth recurrence (plain text is normative here; no equation rendering is required):</w:t>
      </w:r>
    </w:p>
    <w:p>
      <w:pPr>
        <w:pStyle w:val="SourceCode"/>
      </w:pPr>
      <w:r>
        <w:rPr>
          <w:rStyle w:val="VerbatimChar"/>
        </w:rPr>
        <w:t xml:space="preserve">u32(x) = x AND 0xFFFFFFFF</w:t>
      </w:r>
      <w:r>
        <w:br/>
      </w:r>
      <w:r>
        <w:rPr>
          <w:rStyle w:val="VerbatimChar"/>
        </w:rPr>
        <w:t xml:space="preserve">s[0]   = u32(seed32)</w:t>
      </w:r>
      <w:r>
        <w:br/>
      </w:r>
      <w:r>
        <w:rPr>
          <w:rStyle w:val="VerbatimChar"/>
        </w:rPr>
        <w:t xml:space="preserve">s[i]   = u32( 1812433253 * ( s[i-1] XOR (s[i-1] &gt;&gt; 30) ) + i ),   i = 1..623</w:t>
      </w:r>
    </w:p>
    <w:p>
      <w:pPr>
        <w:pStyle w:val="FirstParagraph"/>
      </w:pPr>
      <w:r>
        <w:t xml:space="preserve">The twist and tempering operations SHALL match Matsumoto and Nishimura (1998). Implementations MUST pass the known-answer vectors in Appendix A.</w:t>
      </w:r>
    </w:p>
    <w:bookmarkEnd w:id="40"/>
    <w:bookmarkStart w:id="41" w:name="uniform-conversion"/>
    <w:p>
      <w:pPr>
        <w:pStyle w:val="Heading2"/>
      </w:pPr>
      <w:r>
        <w:t xml:space="preserve">5.3 Uniform conversion</w:t>
      </w:r>
    </w:p>
    <w:p>
      <w:pPr>
        <w:pStyle w:val="FirstParagraph"/>
      </w:pPr>
      <w:r>
        <w:t xml:space="preserve">Two mappings are defined over the raw 32-bit output y:</w:t>
      </w:r>
    </w:p>
    <w:p>
      <w:pPr>
        <w:pStyle w:val="SourceCode"/>
      </w:pPr>
      <w:r>
        <w:rPr>
          <w:rStyle w:val="VerbatimChar"/>
        </w:rPr>
        <w:t xml:space="preserve">U_half = y / 2^32           # in [0,1); zero is possible</w:t>
      </w:r>
      <w:r>
        <w:br/>
      </w:r>
      <w:r>
        <w:rPr>
          <w:rStyle w:val="VerbatimChar"/>
        </w:rPr>
        <w:t xml:space="preserve">U_open = (y + 0.5) / 2^32   # in (0,1); neither 0 nor 1 can occur</w:t>
      </w:r>
    </w:p>
    <w:p>
      <w:pPr>
        <w:pStyle w:val="FirstParagraph"/>
      </w:pPr>
      <w:r>
        <w:rPr>
          <w:rStyle w:val="VerbatimChar"/>
        </w:rPr>
        <w:t xml:space="preserve">U_open</w:t>
      </w:r>
      <w:r>
        <w:t xml:space="preserve"> </w:t>
      </w:r>
      <w:r>
        <w:t xml:space="preserve">is the default and is mandatory for logarithms, inverse CDFs, Box-Muller, exponential sampling, and any operation that requires a strictly open interval.</w:t>
      </w:r>
      <w:r>
        <w:t xml:space="preserve"> </w:t>
      </w:r>
      <w:r>
        <w:rPr>
          <w:rStyle w:val="VerbatimChar"/>
        </w:rPr>
        <w:t xml:space="preserve">U_half</w:t>
      </w:r>
      <w:r>
        <w:t xml:space="preserve"> </w:t>
      </w:r>
      <w:r>
        <w:t xml:space="preserve">is used only where zero is explicitly permitted (categorical selection, arrival offsets). No inverse-CDF routine may consume a value equal to 0 or 1.</w:t>
      </w:r>
    </w:p>
    <w:bookmarkEnd w:id="41"/>
    <w:bookmarkStart w:id="42" w:name="normal-distribution"/>
    <w:p>
      <w:pPr>
        <w:pStyle w:val="Heading2"/>
      </w:pPr>
      <w:r>
        <w:t xml:space="preserve">5.4 Normal distribution</w:t>
      </w:r>
    </w:p>
    <w:p>
      <w:pPr>
        <w:pStyle w:val="FirstParagraph"/>
      </w:pPr>
      <w:r>
        <w:t xml:space="preserve">For independent</w:t>
      </w:r>
      <w:r>
        <w:t xml:space="preserve"> </w:t>
      </w:r>
      <m:oMath>
        <m:sSub>
          <m:e>
            <m:r>
              <m:t>U</m:t>
            </m:r>
          </m:e>
          <m:sub>
            <m:r>
              <m:t>1</m:t>
            </m:r>
          </m:sub>
        </m:sSub>
        <m:r>
          <m:rPr>
            <m:sty m:val="p"/>
          </m:rPr>
          <m:t>,</m:t>
        </m:r>
        <m:sSub>
          <m:e>
            <m:r>
              <m:t>U</m:t>
            </m:r>
          </m:e>
          <m:sub>
            <m:r>
              <m:t>2</m:t>
            </m:r>
          </m:sub>
        </m:sSub>
        <m:r>
          <m:rPr>
            <m:sty m:val="p"/>
          </m:rPr>
          <m:t>∈</m:t>
        </m:r>
        <m:d>
          <m:dPr>
            <m:begChr m:val="("/>
            <m:endChr m:val=")"/>
            <m:sepChr m:val=""/>
            <m:grow/>
          </m:dPr>
          <m:e>
            <m:r>
              <m:t>0</m:t>
            </m:r>
            <m:r>
              <m:rPr>
                <m:sty m:val="p"/>
              </m:rPr>
              <m:t>,</m:t>
            </m:r>
            <m:r>
              <m:t>1</m:t>
            </m:r>
          </m:e>
        </m:d>
      </m:oMath>
      <w:r>
        <w:t xml:space="preserve">:</w:t>
      </w:r>
    </w:p>
    <w:p>
      <w:pPr>
        <w:pStyle w:val="BodyText"/>
      </w:pPr>
      <m:oMathPara>
        <m:oMathParaPr>
          <m:jc m:val="center"/>
        </m:oMathParaPr>
        <m:oMath>
          <m:sSub>
            <m:e>
              <m:r>
                <m:t>Z</m:t>
              </m:r>
            </m:e>
            <m:sub>
              <m:r>
                <m:t>0</m:t>
              </m:r>
            </m:sub>
          </m:sSub>
          <m:r>
            <m:rPr>
              <m:sty m:val="p"/>
            </m:rPr>
            <m:t>=</m:t>
          </m:r>
          <m:rad>
            <m:radPr>
              <m:degHide m:val="on"/>
            </m:radPr>
            <m:deg/>
            <m:e>
              <m:r>
                <m:rPr>
                  <m:sty m:val="p"/>
                </m:rPr>
                <m:t>−</m:t>
              </m:r>
              <m:r>
                <m:t>2</m:t>
              </m:r>
              <m:r>
                <m:rPr>
                  <m:sty m:val="p"/>
                </m:rPr>
                <m:t>ln</m:t>
              </m:r>
              <m:sSub>
                <m:e>
                  <m:r>
                    <m:t>U</m:t>
                  </m:r>
                </m:e>
                <m:sub>
                  <m:r>
                    <m:t>1</m:t>
                  </m:r>
                </m:sub>
              </m:sSub>
            </m:e>
          </m:rad>
          <m:r>
            <m:rPr>
              <m:sty m:val="p"/>
            </m:rPr>
            <m:t>cos</m:t>
          </m:r>
          <m:d>
            <m:dPr>
              <m:begChr m:val="("/>
              <m:endChr m:val=")"/>
              <m:sepChr m:val=""/>
              <m:grow/>
            </m:dPr>
            <m:e>
              <m:r>
                <m:t>2</m:t>
              </m:r>
              <m:r>
                <m:t>π</m:t>
              </m:r>
              <m:sSub>
                <m:e>
                  <m:r>
                    <m:t>U</m:t>
                  </m:r>
                </m:e>
                <m:sub>
                  <m:r>
                    <m:t>2</m:t>
                  </m:r>
                </m:sub>
              </m:sSub>
            </m:e>
          </m:d>
          <m:r>
            <m:rPr>
              <m:sty m:val="p"/>
            </m:rPr>
            <m:t>,</m:t>
          </m:r>
          <m:r>
            <m:t>  </m:t>
          </m:r>
          <m:sSub>
            <m:e>
              <m:r>
                <m:t>Z</m:t>
              </m:r>
            </m:e>
            <m:sub>
              <m:r>
                <m:t>1</m:t>
              </m:r>
            </m:sub>
          </m:sSub>
          <m:r>
            <m:rPr>
              <m:sty m:val="p"/>
            </m:rPr>
            <m:t>=</m:t>
          </m:r>
          <m:rad>
            <m:radPr>
              <m:degHide m:val="on"/>
            </m:radPr>
            <m:deg/>
            <m:e>
              <m:r>
                <m:rPr>
                  <m:sty m:val="p"/>
                </m:rPr>
                <m:t>−</m:t>
              </m:r>
              <m:r>
                <m:t>2</m:t>
              </m:r>
              <m:r>
                <m:rPr>
                  <m:sty m:val="p"/>
                </m:rPr>
                <m:t>ln</m:t>
              </m:r>
              <m:sSub>
                <m:e>
                  <m:r>
                    <m:t>U</m:t>
                  </m:r>
                </m:e>
                <m:sub>
                  <m:r>
                    <m:t>1</m:t>
                  </m:r>
                </m:sub>
              </m:sSub>
            </m:e>
          </m:rad>
          <m:r>
            <m:rPr>
              <m:sty m:val="p"/>
            </m:rPr>
            <m:t>sin</m:t>
          </m:r>
          <m:d>
            <m:dPr>
              <m:begChr m:val="("/>
              <m:endChr m:val=")"/>
              <m:sepChr m:val=""/>
              <m:grow/>
            </m:dPr>
            <m:e>
              <m:r>
                <m:t>2</m:t>
              </m:r>
              <m:r>
                <m:t>π</m:t>
              </m:r>
              <m:sSub>
                <m:e>
                  <m:r>
                    <m:t>U</m:t>
                  </m:r>
                </m:e>
                <m:sub>
                  <m:r>
                    <m:t>2</m:t>
                  </m:r>
                </m:sub>
              </m:sSub>
            </m:e>
          </m:d>
          <m:r>
            <m:rPr>
              <m:sty m:val="p"/>
            </m:rPr>
            <m:t>.</m:t>
          </m:r>
        </m:oMath>
      </m:oMathPara>
    </w:p>
    <w:p>
      <w:pPr>
        <w:pStyle w:val="FirstParagraph"/>
      </w:pPr>
      <w:r>
        <w:t xml:space="preserve">The spare normal value MUST be cached inside the same named stream. It MUST NOT be shared across streams. The cache protocol is normative: if the stream cache is empty, draw</w:t>
      </w:r>
      <w:r>
        <w:t xml:space="preserve"> </w:t>
      </w:r>
      <m:oMath>
        <m:sSub>
          <m:e>
            <m:r>
              <m:t>U</m:t>
            </m:r>
          </m:e>
          <m:sub>
            <m:r>
              <m:t>1</m:t>
            </m:r>
          </m:sub>
        </m:sSub>
      </m:oMath>
      <w:r>
        <w:t xml:space="preserve"> </w:t>
      </w:r>
      <w:r>
        <w:t xml:space="preserve">= U_open then</w:t>
      </w:r>
      <w:r>
        <w:t xml:space="preserve"> </w:t>
      </w:r>
      <m:oMath>
        <m:sSub>
          <m:e>
            <m:r>
              <m:t>U</m:t>
            </m:r>
          </m:e>
          <m:sub>
            <m:r>
              <m:t>2</m:t>
            </m:r>
          </m:sub>
        </m:sSub>
      </m:oMath>
      <w:r>
        <w:t xml:space="preserve"> </w:t>
      </w:r>
      <w:r>
        <w:t xml:space="preserve">= U_open, return</w:t>
      </w:r>
      <w:r>
        <w:t xml:space="preserve"> </w:t>
      </w:r>
      <m:oMath>
        <m:sSub>
          <m:e>
            <m:r>
              <m:t>Z</m:t>
            </m:r>
          </m:e>
          <m:sub>
            <m:r>
              <m:t>0</m:t>
            </m:r>
          </m:sub>
        </m:sSub>
      </m:oMath>
      <w:r>
        <w:t xml:space="preserve">, and store</w:t>
      </w:r>
      <w:r>
        <w:t xml:space="preserve"> </w:t>
      </w:r>
      <m:oMath>
        <m:sSub>
          <m:e>
            <m:r>
              <m:t>Z</m:t>
            </m:r>
          </m:e>
          <m:sub>
            <m:r>
              <m:t>1</m:t>
            </m:r>
          </m:sub>
        </m:sSub>
      </m:oMath>
      <w:r>
        <w:t xml:space="preserve">; otherwise return the cached value and clear the cache. Every consumer of normal deviates on a stream (including Gamma sampling, Section 5.6) participates in the same cache.</w:t>
      </w:r>
    </w:p>
    <w:bookmarkEnd w:id="42"/>
    <w:bookmarkStart w:id="43" w:name="poisson-distribution"/>
    <w:p>
      <w:pPr>
        <w:pStyle w:val="Heading2"/>
      </w:pPr>
      <w:r>
        <w:t xml:space="preserve">5.5 Poisson distribution</w:t>
      </w:r>
    </w:p>
    <w:p>
      <w:pPr>
        <w:pStyle w:val="FirstParagraph"/>
      </w:pPr>
      <w:r>
        <w:t xml:space="preserve">For</w:t>
      </w:r>
      <w:r>
        <w:t xml:space="preserve"> </w:t>
      </w:r>
      <m:oMath>
        <m:r>
          <m:t>λ</m:t>
        </m:r>
        <m:r>
          <m:rPr>
            <m:sty m:val="p"/>
          </m:rPr>
          <m:t>&lt;</m:t>
        </m:r>
        <m:r>
          <m:t>30</m:t>
        </m:r>
      </m:oMath>
      <w:r>
        <w:t xml:space="preserve">, use Knuth’s product algorithm with U_open draws:</w:t>
      </w:r>
    </w:p>
    <w:p>
      <w:pPr>
        <w:pStyle w:val="SourceCode"/>
      </w:pPr>
      <w:r>
        <w:rPr>
          <w:rStyle w:val="VerbatimChar"/>
        </w:rPr>
        <w:t xml:space="preserve">L = exp(-lambda); k = 0; p = 1</w:t>
      </w:r>
      <w:r>
        <w:br/>
      </w:r>
      <w:r>
        <w:rPr>
          <w:rStyle w:val="VerbatimChar"/>
        </w:rPr>
        <w:t xml:space="preserve">repeat: k = k + 1; p = p * U_open()</w:t>
      </w:r>
      <w:r>
        <w:br/>
      </w:r>
      <w:r>
        <w:rPr>
          <w:rStyle w:val="VerbatimChar"/>
        </w:rPr>
        <w:t xml:space="preserve">until p &lt;= L</w:t>
      </w:r>
      <w:r>
        <w:br/>
      </w:r>
      <w:r>
        <w:rPr>
          <w:rStyle w:val="VerbatimChar"/>
        </w:rPr>
        <w:t xml:space="preserve">return k - 1</w:t>
      </w:r>
    </w:p>
    <w:p>
      <w:pPr>
        <w:pStyle w:val="FirstParagraph"/>
      </w:pPr>
      <w:r>
        <w:t xml:space="preserve">For</w:t>
      </w:r>
      <w:r>
        <w:t xml:space="preserve"> </w:t>
      </w:r>
      <m:oMath>
        <m:r>
          <m:t>λ</m:t>
        </m:r>
        <m:r>
          <m:rPr>
            <m:sty m:val="p"/>
          </m:rPr>
          <m:t>≥</m:t>
        </m:r>
        <m:r>
          <m:t>30</m:t>
        </m:r>
      </m:oMath>
      <w:r>
        <w:t xml:space="preserve">, use the PTRS transformed-rejection algorithm:</w:t>
      </w:r>
    </w:p>
    <w:p>
      <w:pPr>
        <w:pStyle w:val="SourceCode"/>
      </w:pPr>
      <w:r>
        <w:rPr>
          <w:rStyle w:val="VerbatimChar"/>
        </w:rPr>
        <w:t xml:space="preserve">b = 0.931 + 2.53*sqrt(lambda)</w:t>
      </w:r>
      <w:r>
        <w:br/>
      </w:r>
      <w:r>
        <w:rPr>
          <w:rStyle w:val="VerbatimChar"/>
        </w:rPr>
        <w:t xml:space="preserve">a = -0.059 + 0.02483*b</w:t>
      </w:r>
      <w:r>
        <w:br/>
      </w:r>
      <w:r>
        <w:rPr>
          <w:rStyle w:val="VerbatimChar"/>
        </w:rPr>
        <w:t xml:space="preserve">inv_alpha = 1.1239 + 1.1328/(b - 3.4)</w:t>
      </w:r>
      <w:r>
        <w:br/>
      </w:r>
      <w:r>
        <w:rPr>
          <w:rStyle w:val="VerbatimChar"/>
        </w:rPr>
        <w:t xml:space="preserve">v_r = 0.9277 - 3.6224/(b - 2)</w:t>
      </w:r>
      <w:r>
        <w:br/>
      </w:r>
      <w:r>
        <w:rPr>
          <w:rStyle w:val="VerbatimChar"/>
        </w:rPr>
        <w:t xml:space="preserve">repeat:</w:t>
      </w:r>
      <w:r>
        <w:br/>
      </w:r>
      <w:r>
        <w:rPr>
          <w:rStyle w:val="VerbatimChar"/>
        </w:rPr>
        <w:t xml:space="preserve">    u = U_open() - 0.5</w:t>
      </w:r>
      <w:r>
        <w:br/>
      </w:r>
      <w:r>
        <w:rPr>
          <w:rStyle w:val="VerbatimChar"/>
        </w:rPr>
        <w:t xml:space="preserve">    v = U_open()</w:t>
      </w:r>
      <w:r>
        <w:br/>
      </w:r>
      <w:r>
        <w:rPr>
          <w:rStyle w:val="VerbatimChar"/>
        </w:rPr>
        <w:t xml:space="preserve">    u_s = 0.5 - abs(u)</w:t>
      </w:r>
      <w:r>
        <w:br/>
      </w:r>
      <w:r>
        <w:rPr>
          <w:rStyle w:val="VerbatimChar"/>
        </w:rPr>
        <w:t xml:space="preserve">    k = floor((2*a/u_s + b)*u + lambda + 0.43)</w:t>
      </w:r>
      <w:r>
        <w:br/>
      </w:r>
      <w:r>
        <w:rPr>
          <w:rStyle w:val="VerbatimChar"/>
        </w:rPr>
        <w:t xml:space="preserve">    if u_s &gt;= 0.07 and v &lt;= v_r: return k</w:t>
      </w:r>
      <w:r>
        <w:br/>
      </w:r>
      <w:r>
        <w:rPr>
          <w:rStyle w:val="VerbatimChar"/>
        </w:rPr>
        <w:t xml:space="preserve">    if k &lt; 0 or (u_s &lt; 0.013 and v &gt; u_s): continue</w:t>
      </w:r>
      <w:r>
        <w:br/>
      </w:r>
      <w:r>
        <w:rPr>
          <w:rStyle w:val="VerbatimChar"/>
        </w:rPr>
        <w:t xml:space="preserve">    lhs = log(v*inv_alpha/(a/(u_s*u_s) + b))</w:t>
      </w:r>
      <w:r>
        <w:br/>
      </w:r>
      <w:r>
        <w:rPr>
          <w:rStyle w:val="VerbatimChar"/>
        </w:rPr>
        <w:t xml:space="preserve">    rhs = -lambda + k*log(lambda) - lgamma(k + 1)</w:t>
      </w:r>
      <w:r>
        <w:br/>
      </w:r>
      <w:r>
        <w:rPr>
          <w:rStyle w:val="VerbatimChar"/>
        </w:rPr>
        <w:t xml:space="preserve">    if lhs &lt;= rhs: return k</w:t>
      </w:r>
    </w:p>
    <w:p>
      <w:pPr>
        <w:pStyle w:val="FirstParagraph"/>
      </w:pPr>
      <w:r>
        <w:t xml:space="preserve">A normal approximation is not conformant because its rounding and tail behaviour are implementation-dependent.</w:t>
      </w:r>
    </w:p>
    <w:bookmarkEnd w:id="43"/>
    <w:bookmarkStart w:id="44" w:name="other-distributions"/>
    <w:p>
      <w:pPr>
        <w:pStyle w:val="Heading2"/>
      </w:pPr>
      <w:r>
        <w:t xml:space="preserve">5.6 Other distributions</w:t>
      </w:r>
    </w:p>
    <w:p>
      <w:pPr>
        <w:numPr>
          <w:ilvl w:val="0"/>
          <w:numId w:val="1009"/>
        </w:numPr>
        <w:pStyle w:val="Compact"/>
      </w:pPr>
      <w:r>
        <w:t xml:space="preserve">Exponential:</w:t>
      </w:r>
      <w:r>
        <w:t xml:space="preserve"> </w:t>
      </w:r>
      <m:oMath>
        <m:r>
          <m:t>X</m:t>
        </m:r>
        <m:r>
          <m:rPr>
            <m:sty m:val="p"/>
          </m:rPr>
          <m:t>=</m:t>
        </m:r>
        <m:r>
          <m:rPr>
            <m:sty m:val="p"/>
          </m:rPr>
          <m:t>−</m:t>
        </m:r>
        <m:r>
          <m:rPr>
            <m:sty m:val="p"/>
          </m:rPr>
          <m:t>ln</m:t>
        </m:r>
        <m:r>
          <m:t>U</m:t>
        </m:r>
        <m:r>
          <m:rPr>
            <m:sty m:val="p"/>
          </m:rPr>
          <m:t>/</m:t>
        </m:r>
        <m:r>
          <m:t>λ</m:t>
        </m:r>
      </m:oMath>
      <w:r>
        <w:t xml:space="preserve"> </w:t>
      </w:r>
      <w:r>
        <w:t xml:space="preserve">with one U_open draw.</w:t>
      </w:r>
    </w:p>
    <w:p>
      <w:pPr>
        <w:numPr>
          <w:ilvl w:val="0"/>
          <w:numId w:val="1009"/>
        </w:numPr>
        <w:pStyle w:val="Compact"/>
      </w:pPr>
      <w:r>
        <w:t xml:space="preserve">LogNormal:</w:t>
      </w:r>
      <w:r>
        <w:t xml:space="preserve"> </w:t>
      </w:r>
      <m:oMath>
        <m:r>
          <m:t>X</m:t>
        </m:r>
        <m:r>
          <m:rPr>
            <m:sty m:val="p"/>
          </m:rPr>
          <m:t>=</m:t>
        </m:r>
        <m:r>
          <m:rPr>
            <m:sty m:val="p"/>
          </m:rPr>
          <m:t>exp</m:t>
        </m:r>
        <m:d>
          <m:dPr>
            <m:begChr m:val="("/>
            <m:endChr m:val=")"/>
            <m:sepChr m:val=""/>
            <m:grow/>
          </m:dPr>
          <m:e>
            <m:r>
              <m:t>μ</m:t>
            </m:r>
            <m:r>
              <m:rPr>
                <m:sty m:val="p"/>
              </m:rPr>
              <m:t>+</m:t>
            </m:r>
            <m:r>
              <m:t>σ</m:t>
            </m:r>
            <m:r>
              <m:t>Z</m:t>
            </m:r>
          </m:e>
        </m:d>
      </m:oMath>
      <w:r>
        <w:t xml:space="preserve">, with</w:t>
      </w:r>
      <w:r>
        <w:t xml:space="preserve"> </w:t>
      </w:r>
      <m:oMath>
        <m:r>
          <m:t>μ</m:t>
        </m:r>
        <m:r>
          <m:rPr>
            <m:sty m:val="p"/>
          </m:rPr>
          <m:t>,</m:t>
        </m:r>
        <m:r>
          <m:t>σ</m:t>
        </m:r>
      </m:oMath>
      <w:r>
        <w:t xml:space="preserve"> </w:t>
      </w:r>
      <w:r>
        <w:t xml:space="preserve">in log-space; consumes one normal deviate via Section 5.4.</w:t>
      </w:r>
    </w:p>
    <w:p>
      <w:pPr>
        <w:numPr>
          <w:ilvl w:val="0"/>
          <w:numId w:val="1009"/>
        </w:numPr>
        <w:pStyle w:val="Compact"/>
      </w:pPr>
      <w:r>
        <w:t xml:space="preserve">Weibull:</w:t>
      </w:r>
      <w:r>
        <w:t xml:space="preserve"> </w:t>
      </w:r>
      <m:oMath>
        <m:r>
          <m:t>X</m:t>
        </m:r>
        <m:r>
          <m:rPr>
            <m:sty m:val="p"/>
          </m:rPr>
          <m:t>=</m:t>
        </m:r>
        <m:r>
          <m:t>c</m:t>
        </m:r>
        <m:sSup>
          <m:e>
            <m:d>
              <m:dPr>
                <m:begChr m:val="["/>
                <m:endChr m:val="]"/>
                <m:sepChr m:val=""/>
                <m:grow/>
              </m:dPr>
              <m:e>
                <m:r>
                  <m:rPr>
                    <m:sty m:val="p"/>
                  </m:rPr>
                  <m:t>−</m:t>
                </m:r>
                <m:r>
                  <m:rPr>
                    <m:sty m:val="p"/>
                  </m:rPr>
                  <m:t>ln</m:t>
                </m:r>
                <m:d>
                  <m:dPr>
                    <m:begChr m:val="("/>
                    <m:endChr m:val=")"/>
                    <m:sepChr m:val=""/>
                    <m:grow/>
                  </m:dPr>
                  <m:e>
                    <m:r>
                      <m:t>1</m:t>
                    </m:r>
                    <m:r>
                      <m:rPr>
                        <m:sty m:val="p"/>
                      </m:rPr>
                      <m:t>−</m:t>
                    </m:r>
                    <m:r>
                      <m:t>U</m:t>
                    </m:r>
                  </m:e>
                </m:d>
              </m:e>
            </m:d>
          </m:e>
          <m:sup>
            <m:r>
              <m:t>1</m:t>
            </m:r>
            <m:r>
              <m:rPr>
                <m:sty m:val="p"/>
              </m:rPr>
              <m:t>/</m:t>
            </m:r>
            <m:r>
              <m:t>k</m:t>
            </m:r>
          </m:sup>
        </m:sSup>
      </m:oMath>
      <w:r>
        <w:t xml:space="preserve"> </w:t>
      </w:r>
      <w:r>
        <w:t xml:space="preserve">with one U_open draw.</w:t>
      </w:r>
    </w:p>
    <w:p>
      <w:pPr>
        <w:pStyle w:val="FirstParagraph"/>
      </w:pPr>
      <w:r>
        <w:rPr>
          <w:bCs/>
          <w:b/>
        </w:rPr>
        <w:t xml:space="preserve">Gamma (normative pseudocode, Marsaglia-Tsang).</w:t>
      </w:r>
      <w:r>
        <w:t xml:space="preserve"> </w:t>
      </w:r>
      <w:r>
        <w:t xml:space="preserve">The random-consumption order below is part of the contract; the normal draws participate in the stream’s Box-Muller cache:</w:t>
      </w:r>
    </w:p>
    <w:p>
      <w:pPr>
        <w:pStyle w:val="SourceCode"/>
      </w:pPr>
      <w:r>
        <w:rPr>
          <w:rStyle w:val="VerbatimChar"/>
        </w:rPr>
        <w:t xml:space="preserve">gamma(alpha, scale, stream):</w:t>
      </w:r>
      <w:r>
        <w:br/>
      </w:r>
      <w:r>
        <w:rPr>
          <w:rStyle w:val="VerbatimChar"/>
        </w:rPr>
        <w:t xml:space="preserve">  if alpha &lt; 1:</w:t>
      </w:r>
      <w:r>
        <w:br/>
      </w:r>
      <w:r>
        <w:rPr>
          <w:rStyle w:val="VerbatimChar"/>
        </w:rPr>
        <w:t xml:space="preserve">      g = gamma(alpha + 1, 1, stream)      # boost first</w:t>
      </w:r>
      <w:r>
        <w:br/>
      </w:r>
      <w:r>
        <w:rPr>
          <w:rStyle w:val="VerbatimChar"/>
        </w:rPr>
        <w:t xml:space="preserve">      u = U_open(stream)                   # then one uniform</w:t>
      </w:r>
      <w:r>
        <w:br/>
      </w:r>
      <w:r>
        <w:rPr>
          <w:rStyle w:val="VerbatimChar"/>
        </w:rPr>
        <w:t xml:space="preserve">      return scale * g * u^(1/alpha)</w:t>
      </w:r>
      <w:r>
        <w:br/>
      </w:r>
      <w:r>
        <w:rPr>
          <w:rStyle w:val="VerbatimChar"/>
        </w:rPr>
        <w:t xml:space="preserve">  d = alpha - 1/3;  c = 1/sqrt(9*d)</w:t>
      </w:r>
      <w:r>
        <w:br/>
      </w:r>
      <w:r>
        <w:rPr>
          <w:rStyle w:val="VerbatimChar"/>
        </w:rPr>
        <w:t xml:space="preserve">  loop:</w:t>
      </w:r>
      <w:r>
        <w:br/>
      </w:r>
      <w:r>
        <w:rPr>
          <w:rStyle w:val="VerbatimChar"/>
        </w:rPr>
        <w:t xml:space="preserve">      repeat: x = normal(stream); v = (1 + c*x)^3   until v &gt; 0</w:t>
      </w:r>
      <w:r>
        <w:br/>
      </w:r>
      <w:r>
        <w:rPr>
          <w:rStyle w:val="VerbatimChar"/>
        </w:rPr>
        <w:t xml:space="preserve">      u = U_open(stream)</w:t>
      </w:r>
      <w:r>
        <w:br/>
      </w:r>
      <w:r>
        <w:rPr>
          <w:rStyle w:val="VerbatimChar"/>
        </w:rPr>
        <w:t xml:space="preserve">      if u &lt; 1 - 0.0331*x^4:                return scale * d * v</w:t>
      </w:r>
      <w:r>
        <w:br/>
      </w:r>
      <w:r>
        <w:rPr>
          <w:rStyle w:val="VerbatimChar"/>
        </w:rPr>
        <w:t xml:space="preserve">      if ln(u) &lt; 0.5*x^2 + d*(1 - v + ln v): return scale * d * v</w:t>
      </w:r>
    </w:p>
    <w:p>
      <w:pPr>
        <w:pStyle w:val="FirstParagraph"/>
      </w:pPr>
      <w:r>
        <w:rPr>
          <w:bCs/>
          <w:b/>
        </w:rPr>
        <w:t xml:space="preserve">Beta (normative).</w:t>
      </w:r>
      <w:r>
        <w:t xml:space="preserve"> </w:t>
      </w:r>
      <m:oMath>
        <m:r>
          <m:t>B</m:t>
        </m:r>
        <m:r>
          <m:t>e</m:t>
        </m:r>
        <m:r>
          <m:t>t</m:t>
        </m:r>
        <m:r>
          <m:t>a</m:t>
        </m:r>
        <m:d>
          <m:dPr>
            <m:begChr m:val="("/>
            <m:endChr m:val=")"/>
            <m:sepChr m:val=""/>
            <m:grow/>
          </m:dPr>
          <m:e>
            <m:r>
              <m:t>a</m:t>
            </m:r>
            <m:r>
              <m:rPr>
                <m:sty m:val="p"/>
              </m:rPr>
              <m:t>,</m:t>
            </m:r>
            <m:r>
              <m:t>b</m:t>
            </m:r>
          </m:e>
        </m:d>
      </m:oMath>
      <w:r>
        <w:t xml:space="preserve"> </w:t>
      </w:r>
      <w:r>
        <w:t xml:space="preserve">SHALL be sampled as</w:t>
      </w:r>
      <w:r>
        <w:t xml:space="preserve"> </w:t>
      </w:r>
      <m:oMath>
        <m:sSub>
          <m:e>
            <m:r>
              <m:t>G</m:t>
            </m:r>
          </m:e>
          <m:sub>
            <m:r>
              <m:t>a</m:t>
            </m:r>
          </m:sub>
        </m:sSub>
        <m:r>
          <m:rPr>
            <m:sty m:val="p"/>
          </m:rPr>
          <m:t>/</m:t>
        </m:r>
        <m:d>
          <m:dPr>
            <m:begChr m:val="("/>
            <m:endChr m:val=")"/>
            <m:sepChr m:val=""/>
            <m:grow/>
          </m:dPr>
          <m:e>
            <m:sSub>
              <m:e>
                <m:r>
                  <m:t>G</m:t>
                </m:r>
              </m:e>
              <m:sub>
                <m:r>
                  <m:t>a</m:t>
                </m:r>
              </m:sub>
            </m:sSub>
            <m:r>
              <m:rPr>
                <m:sty m:val="p"/>
              </m:rPr>
              <m:t>+</m:t>
            </m:r>
            <m:sSub>
              <m:e>
                <m:r>
                  <m:t>G</m:t>
                </m:r>
              </m:e>
              <m:sub>
                <m:r>
                  <m:t>b</m:t>
                </m:r>
              </m:sub>
            </m:sSub>
          </m:e>
        </m:d>
      </m:oMath>
      <w:r>
        <w:t xml:space="preserve">, where</w:t>
      </w:r>
      <w:r>
        <w:t xml:space="preserve"> </w:t>
      </w:r>
      <m:oMath>
        <m:sSub>
          <m:e>
            <m:r>
              <m:t>G</m:t>
            </m:r>
          </m:e>
          <m:sub>
            <m:r>
              <m:t>a</m:t>
            </m:r>
          </m:sub>
        </m:sSub>
      </m:oMath>
      <w:r>
        <w:t xml:space="preserve"> </w:t>
      </w:r>
      <w:r>
        <w:t xml:space="preserve">= gamma(a, 1) is drawn first and</w:t>
      </w:r>
      <w:r>
        <w:t xml:space="preserve"> </w:t>
      </w:r>
      <m:oMath>
        <m:sSub>
          <m:e>
            <m:r>
              <m:t>G</m:t>
            </m:r>
          </m:e>
          <m:sub>
            <m:r>
              <m:t>b</m:t>
            </m:r>
          </m:sub>
        </m:sSub>
      </m:oMath>
      <w:r>
        <w:t xml:space="preserve"> </w:t>
      </w:r>
      <w:r>
        <w:t xml:space="preserve">= gamma(b, 1) second, on the same stream.</w:t>
      </w:r>
    </w:p>
    <w:p>
      <w:pPr>
        <w:pStyle w:val="BodyText"/>
      </w:pPr>
      <w:r>
        <w:rPr>
          <w:bCs/>
          <w:b/>
        </w:rPr>
        <w:t xml:space="preserve">Normal CDF module</w:t>
      </w:r>
      <w:r>
        <w:rPr>
          <w:bCs/>
          <w:b/>
        </w:rPr>
        <w:t xml:space="preserve"> </w:t>
      </w:r>
      <w:r>
        <w:rPr>
          <w:rStyle w:val="VerbatimChar"/>
          <w:bCs/>
          <w:b/>
        </w:rPr>
        <w:t xml:space="preserve">phi_normal_cdf_v1</w:t>
      </w:r>
      <w:r>
        <w:rPr>
          <w:bCs/>
          <w:b/>
        </w:rPr>
        <w:t xml:space="preserve">.</w:t>
      </w:r>
      <w:r>
        <w:t xml:space="preserve"> </w:t>
      </w:r>
      <w:r>
        <w:t xml:space="preserve">The wind copula (Section 6.6) requires</w:t>
      </w:r>
      <w:r>
        <w:t xml:space="preserve"> </w:t>
      </w:r>
      <m:oMath>
        <m:r>
          <m:t>Φ</m:t>
        </m:r>
        <m:d>
          <m:dPr>
            <m:begChr m:val="("/>
            <m:endChr m:val=")"/>
            <m:sepChr m:val=""/>
            <m:grow/>
          </m:dPr>
          <m:e>
            <m:r>
              <m:t>z</m:t>
            </m:r>
          </m:e>
        </m:d>
      </m:oMath>
      <w:r>
        <w:t xml:space="preserve">. The normative definition is</w:t>
      </w:r>
      <w:r>
        <w:t xml:space="preserve"> </w:t>
      </w:r>
      <m:oMath>
        <m:r>
          <m:t>Φ</m:t>
        </m:r>
        <m:d>
          <m:dPr>
            <m:begChr m:val="("/>
            <m:endChr m:val=")"/>
            <m:sepChr m:val=""/>
            <m:grow/>
          </m:dPr>
          <m:e>
            <m:r>
              <m:t>z</m:t>
            </m:r>
          </m:e>
        </m:d>
        <m:r>
          <m:rPr>
            <m:sty m:val="p"/>
          </m:rPr>
          <m:t>=</m:t>
        </m:r>
        <m:f>
          <m:fPr>
            <m:type m:val="lin"/>
          </m:fPr>
          <m:num>
            <m:r>
              <m:t>1</m:t>
            </m:r>
          </m:num>
          <m:den>
            <m:r>
              <m:t>2</m:t>
            </m:r>
          </m:den>
        </m:f>
        <m:r>
          <m:t> </m:t>
        </m:r>
        <m:r>
          <m:rPr>
            <m:sty m:val="p"/>
          </m:rPr>
          <m:t>e</m:t>
        </m:r>
        <m:r>
          <m:rPr>
            <m:sty m:val="p"/>
          </m:rPr>
          <m:t>r</m:t>
        </m:r>
        <m:r>
          <m:rPr>
            <m:sty m:val="p"/>
          </m:rPr>
          <m:t>f</m:t>
        </m:r>
        <m:r>
          <m:rPr>
            <m:sty m:val="p"/>
          </m:rPr>
          <m:t>c</m:t>
        </m:r>
        <m:d>
          <m:dPr>
            <m:begChr m:val="("/>
            <m:endChr m:val=")"/>
            <m:sepChr m:val=""/>
            <m:grow/>
          </m:dPr>
          <m:e>
            <m:r>
              <m:rPr>
                <m:sty m:val="p"/>
              </m:rPr>
              <m:t>−</m:t>
            </m:r>
            <m:r>
              <m:t>z</m:t>
            </m:r>
            <m:r>
              <m:rPr>
                <m:sty m:val="p"/>
              </m:rPr>
              <m:t>/</m:t>
            </m:r>
            <m:rad>
              <m:radPr>
                <m:degHide m:val="on"/>
              </m:radPr>
              <m:deg/>
              <m:e>
                <m:r>
                  <m:t>2</m:t>
                </m:r>
              </m:e>
            </m:rad>
          </m:e>
        </m:d>
      </m:oMath>
      <w:r>
        <w:t xml:space="preserve">, where erfc is the bundled double-precision module</w:t>
      </w:r>
      <w:r>
        <w:t xml:space="preserve"> </w:t>
      </w:r>
      <w:r>
        <w:rPr>
          <w:rStyle w:val="VerbatimChar"/>
        </w:rPr>
        <w:t xml:space="preserve">erfc_v1</w:t>
      </w:r>
      <w:r>
        <w:t xml:space="preserve">; its coefficients ship as a data file whose SHA-256 is recorded in the manifest, and it MUST pass the phi known-answer points in the reference vectors within an absolute tolerance of 5e-14. (PHP has no built-in erf, so the module is mandatory, not optional.)</w:t>
      </w:r>
    </w:p>
    <w:p>
      <w:pPr>
        <w:numPr>
          <w:ilvl w:val="0"/>
          <w:numId w:val="1010"/>
        </w:numPr>
        <w:pStyle w:val="Compact"/>
      </w:pPr>
      <w:r>
        <w:t xml:space="preserve">Categorical: choose the first category whose cumulative probability is strictly greater than one U_half draw; the final cumulative boundary is forced to exactly 1.</w:t>
      </w:r>
    </w:p>
    <w:p>
      <w:pPr>
        <w:pStyle w:val="FirstParagraph"/>
      </w:pPr>
      <w:r>
        <w:t xml:space="preserve">Distribution parameterizations MUST be echoed in</w:t>
      </w:r>
      <w:r>
        <w:t xml:space="preserve"> </w:t>
      </w:r>
      <w:r>
        <w:rPr>
          <w:rStyle w:val="VerbatimChar"/>
        </w:rPr>
        <w:t xml:space="preserve">scenario.json</w:t>
      </w:r>
      <w:r>
        <w:t xml:space="preserve">.</w:t>
      </w:r>
    </w:p>
    <w:bookmarkEnd w:id="44"/>
    <w:bookmarkStart w:id="45" w:name="ar1-convention"/>
    <w:p>
      <w:pPr>
        <w:pStyle w:val="Heading2"/>
      </w:pPr>
      <w:r>
        <w:t xml:space="preserve">5.7 AR(1) convention</w:t>
      </w:r>
    </w:p>
    <w:p>
      <w:pPr>
        <w:pStyle w:val="FirstParagraph"/>
      </w:pPr>
      <w:r>
        <w:t xml:space="preserve">For a stationary standard-deviation parameter</w:t>
      </w:r>
      <w:r>
        <w:t xml:space="preserve"> </w:t>
      </w:r>
      <m:oMath>
        <m:sSub>
          <m:e>
            <m:r>
              <m:t>σ</m:t>
            </m:r>
          </m:e>
          <m:sub>
            <m:r>
              <m:t>x</m:t>
            </m:r>
          </m:sub>
        </m:sSub>
      </m:oMath>
      <w:r>
        <w:t xml:space="preserve">:</w:t>
      </w:r>
    </w:p>
    <w:p>
      <w:pPr>
        <w:pStyle w:val="BodyText"/>
      </w:pPr>
      <m:oMathPara>
        <m:oMathParaPr>
          <m:jc m:val="center"/>
        </m:oMathParaPr>
        <m:oMath>
          <m:sSub>
            <m:e>
              <m:r>
                <m:t>x</m:t>
              </m:r>
            </m:e>
            <m:sub>
              <m:r>
                <m:t>t</m:t>
              </m:r>
            </m:sub>
          </m:sSub>
          <m:r>
            <m:rPr>
              <m:sty m:val="p"/>
            </m:rPr>
            <m:t>=</m:t>
          </m:r>
          <m:sSub>
            <m:e>
              <m:r>
                <m:t>μ</m:t>
              </m:r>
            </m:e>
            <m:sub>
              <m:r>
                <m:t>t</m:t>
              </m:r>
            </m:sub>
          </m:sSub>
          <m:r>
            <m:rPr>
              <m:sty m:val="p"/>
            </m:rPr>
            <m:t>+</m:t>
          </m:r>
          <m:r>
            <m:t>ϕ</m:t>
          </m:r>
          <m:d>
            <m:dPr>
              <m:begChr m:val="("/>
              <m:endChr m:val=")"/>
              <m:sepChr m:val=""/>
              <m:grow/>
            </m:dPr>
            <m:e>
              <m:sSub>
                <m:e>
                  <m:r>
                    <m:t>x</m:t>
                  </m:r>
                </m:e>
                <m:sub>
                  <m:r>
                    <m:t>t</m:t>
                  </m:r>
                  <m:r>
                    <m:rPr>
                      <m:sty m:val="p"/>
                    </m:rPr>
                    <m:t>−</m:t>
                  </m:r>
                  <m:r>
                    <m:t>1</m:t>
                  </m:r>
                </m:sub>
              </m:sSub>
              <m:r>
                <m:rPr>
                  <m:sty m:val="p"/>
                </m:rPr>
                <m:t>−</m:t>
              </m:r>
              <m:sSub>
                <m:e>
                  <m:r>
                    <m:t>μ</m:t>
                  </m:r>
                </m:e>
                <m:sub>
                  <m:r>
                    <m:t>t</m:t>
                  </m:r>
                  <m:r>
                    <m:rPr>
                      <m:sty m:val="p"/>
                    </m:rPr>
                    <m:t>−</m:t>
                  </m:r>
                  <m:r>
                    <m:t>1</m:t>
                  </m:r>
                </m:sub>
              </m:sSub>
            </m:e>
          </m:d>
          <m:r>
            <m:rPr>
              <m:sty m:val="p"/>
            </m:rPr>
            <m:t>+</m:t>
          </m:r>
          <m:sSub>
            <m:e>
              <m:r>
                <m:t>σ</m:t>
              </m:r>
            </m:e>
            <m:sub>
              <m:r>
                <m:t>x</m:t>
              </m:r>
            </m:sub>
          </m:sSub>
          <m:rad>
            <m:radPr>
              <m:degHide m:val="on"/>
            </m:radPr>
            <m:deg/>
            <m:e>
              <m:r>
                <m:t>1</m:t>
              </m:r>
              <m:r>
                <m:rPr>
                  <m:sty m:val="p"/>
                </m:rPr>
                <m:t>−</m:t>
              </m:r>
              <m:sSup>
                <m:e>
                  <m:r>
                    <m:t>ϕ</m:t>
                  </m:r>
                </m:e>
                <m:sup>
                  <m:r>
                    <m:t>2</m:t>
                  </m:r>
                </m:sup>
              </m:sSup>
            </m:e>
          </m:rad>
          <m:r>
            <m:t> </m:t>
          </m:r>
          <m:sSub>
            <m:e>
              <m:r>
                <m:t>Z</m:t>
              </m:r>
            </m:e>
            <m:sub>
              <m:r>
                <m:t>t</m:t>
              </m:r>
            </m:sub>
          </m:sSub>
          <m:r>
            <m:rPr>
              <m:sty m:val="p"/>
            </m:rPr>
            <m:t>.</m:t>
          </m:r>
        </m:oMath>
      </m:oMathPara>
    </w:p>
    <w:p>
      <w:pPr>
        <w:pStyle w:val="FirstParagraph"/>
      </w:pPr>
      <w:r>
        <w:t xml:space="preserve">The specification always distinguishes stationary standard deviation from innovation standard deviation. Unless an explicit initial value is supplied, the process MUST be initialized from its stationary distribution or generated during a hidden warm-up.</w:t>
      </w:r>
    </w:p>
    <w:bookmarkEnd w:id="45"/>
    <w:bookmarkEnd w:id="46"/>
    <w:bookmarkStart w:id="65" w:name="environmental-and-behavioural-generator"/>
    <w:p>
      <w:pPr>
        <w:pStyle w:val="Heading1"/>
      </w:pPr>
      <w:r>
        <w:t xml:space="preserve">6. Environmental and behavioural generator</w:t>
      </w:r>
    </w:p>
    <w:p>
      <w:pPr>
        <w:pStyle w:val="FirstParagraph"/>
      </w:pPr>
      <w:r>
        <w:rPr>
          <w:bCs/>
          <w:b/>
        </w:rPr>
        <w:t xml:space="preserve">State-initialization contract (applies to every stochastic channel in this section).</w:t>
      </w:r>
      <w:r>
        <w:t xml:space="preserve"> </w:t>
      </w:r>
      <w:r>
        <w:t xml:space="preserve">Unless the scenario supplies explicit initial states, the pinned defaults at the start of warm-up are: cloud state</w:t>
      </w:r>
      <w:r>
        <w:t xml:space="preserve"> </w:t>
      </w:r>
      <w:r>
        <w:rPr>
          <w:rStyle w:val="VerbatimChar"/>
        </w:rPr>
        <w:t xml:space="preserve">partly_cloudy</w:t>
      </w:r>
      <w:r>
        <w:t xml:space="preserve">, precipitation</w:t>
      </w:r>
      <w:r>
        <w:t xml:space="preserve"> </w:t>
      </w:r>
      <w:r>
        <w:rPr>
          <w:rStyle w:val="VerbatimChar"/>
        </w:rPr>
        <w:t xml:space="preserve">dry</w:t>
      </w:r>
      <w:r>
        <w:t xml:space="preserve">, crowd state</w:t>
      </w:r>
      <w:r>
        <w:t xml:space="preserve"> </w:t>
      </w:r>
      <w:r>
        <w:rPr>
          <w:rStyle w:val="VerbatimChar"/>
        </w:rPr>
        <w:t xml:space="preserve">normal</w:t>
      </w:r>
      <w:r>
        <w:t xml:space="preserve">. AR(1) channels start from their stationary distribution (Section 5.7), sampled on their own stream at the first warm-up step. The pollutant initial concentration uses</w:t>
      </w:r>
      <w:r>
        <w:t xml:space="preserve"> </w:t>
      </w:r>
      <w:r>
        <w:rPr>
          <w:rStyle w:val="VerbatimChar"/>
        </w:rPr>
        <w:t xml:space="preserve">initial_concentration_mode</w:t>
      </w:r>
      <w:r>
        <w:t xml:space="preserve">; the default</w:t>
      </w:r>
      <w:r>
        <w:t xml:space="preserve"> </w:t>
      </w:r>
      <w:r>
        <w:rPr>
          <w:rStyle w:val="VerbatimChar"/>
        </w:rPr>
        <w:t xml:space="preserve">steady_state_first_interval</w:t>
      </w:r>
      <w:r>
        <w:t xml:space="preserve"> </w:t>
      </w:r>
      <w:r>
        <w:t xml:space="preserve">sets C(start of warm-up) to the C_infinity implied by the first warm-up interval’s inputs. When any pinned default chain state is used,</w:t>
      </w:r>
      <w:r>
        <w:t xml:space="preserve"> </w:t>
      </w:r>
      <w:r>
        <w:rPr>
          <w:rStyle w:val="VerbatimChar"/>
        </w:rPr>
        <w:t xml:space="preserve">warmup_duration_minutes</w:t>
      </w:r>
      <w:r>
        <w:t xml:space="preserve"> </w:t>
      </w:r>
      <w:r>
        <w:t xml:space="preserve">MUST be at least 24 hours in addition to the rolling-window requirement of Section 6.11, so the visible horizon does not start from the arbitrary default. Scenario-supplied</w:t>
      </w:r>
      <w:r>
        <w:t xml:space="preserve"> </w:t>
      </w:r>
      <w:r>
        <w:rPr>
          <w:rStyle w:val="VerbatimChar"/>
        </w:rPr>
        <w:t xml:space="preserve">initial_states</w:t>
      </w:r>
      <w:r>
        <w:t xml:space="preserve"> </w:t>
      </w:r>
      <w:r>
        <w:t xml:space="preserve">override all defaults and are echoed in the normalized scenario.</w:t>
      </w:r>
    </w:p>
    <w:bookmarkStart w:id="47" w:name="calendar-and-solar-geometry"/>
    <w:p>
      <w:pPr>
        <w:pStyle w:val="Heading2"/>
      </w:pPr>
      <w:r>
        <w:t xml:space="preserve">6.1 Calendar and solar geometry</w:t>
      </w:r>
    </w:p>
    <w:p>
      <w:pPr>
        <w:pStyle w:val="FirstParagraph"/>
      </w:pPr>
      <w:r>
        <w:t xml:space="preserve">A scenario MUST record</w:t>
      </w:r>
      <w:r>
        <w:t xml:space="preserve"> </w:t>
      </w:r>
      <w:r>
        <w:rPr>
          <w:rStyle w:val="VerbatimChar"/>
        </w:rPr>
        <w:t xml:space="preserve">latitude_deg</w:t>
      </w:r>
      <w:r>
        <w:t xml:space="preserve">,</w:t>
      </w:r>
      <w:r>
        <w:t xml:space="preserve"> </w:t>
      </w:r>
      <w:r>
        <w:rPr>
          <w:rStyle w:val="VerbatimChar"/>
        </w:rPr>
        <w:t xml:space="preserve">longitude_deg</w:t>
      </w:r>
      <w:r>
        <w:t xml:space="preserve">,</w:t>
      </w:r>
      <w:r>
        <w:t xml:space="preserve"> </w:t>
      </w:r>
      <w:r>
        <w:rPr>
          <w:rStyle w:val="VerbatimChar"/>
        </w:rPr>
        <w:t xml:space="preserve">timezone</w:t>
      </w:r>
      <w:r>
        <w:t xml:space="preserve">,</w:t>
      </w:r>
      <w:r>
        <w:t xml:space="preserve"> </w:t>
      </w:r>
      <w:r>
        <w:rPr>
          <w:rStyle w:val="VerbatimChar"/>
        </w:rPr>
        <w:t xml:space="preserve">start_timestamp</w:t>
      </w:r>
      <w:r>
        <w:t xml:space="preserve">, and</w:t>
      </w:r>
      <w:r>
        <w:t xml:space="preserve"> </w:t>
      </w:r>
      <w:r>
        <w:rPr>
          <w:rStyle w:val="VerbatimChar"/>
        </w:rPr>
        <w:t xml:space="preserve">solar_position_algorithm_version</w:t>
      </w:r>
      <w:r>
        <w:t xml:space="preserve">. The implementation MUST use one versioned solar-position module consistently and publish known-answer tests for solar elevation and azimuth.</w:t>
      </w:r>
    </w:p>
    <w:p>
      <w:pPr>
        <w:pStyle w:val="BodyText"/>
      </w:pPr>
      <w:r>
        <w:t xml:space="preserve">The Core profile bundles</w:t>
      </w:r>
      <w:r>
        <w:t xml:space="preserve"> </w:t>
      </w:r>
      <w:r>
        <w:rPr>
          <w:rStyle w:val="VerbatimChar"/>
        </w:rPr>
        <w:t xml:space="preserve">iotsyn_solar_v1</w:t>
      </w:r>
      <w:r>
        <w:t xml:space="preserve">, a pinned implementation of the NOAA solar-position approximation equations (cf. Meeus, 1998). Its complete normative equations are given in Appendix D and its known-answer vectors ship in the reference-vector file. A different module is allowed only if its version and test vectors are stored and the algorithm version changes.</w:t>
      </w:r>
    </w:p>
    <w:bookmarkEnd w:id="47"/>
    <w:bookmarkStart w:id="48" w:name="cloud-fraction"/>
    <w:p>
      <w:pPr>
        <w:pStyle w:val="Heading2"/>
      </w:pPr>
      <w:r>
        <w:t xml:space="preserve">6.2 Cloud fraction</w:t>
      </w:r>
    </w:p>
    <w:p>
      <w:pPr>
        <w:pStyle w:val="FirstParagraph"/>
      </w:pPr>
      <w:r>
        <w:t xml:space="preserve">Cloud condition is a three-state, stepwise Markov chain:</w:t>
      </w:r>
      <w:r>
        <w:t xml:space="preserve"> </w:t>
      </w:r>
      <w:r>
        <w:rPr>
          <w:rStyle w:val="VerbatimChar"/>
        </w:rPr>
        <w:t xml:space="preserve">clear</w:t>
      </w:r>
      <w:r>
        <w:t xml:space="preserve">,</w:t>
      </w:r>
      <w:r>
        <w:t xml:space="preserve"> </w:t>
      </w:r>
      <w:r>
        <w:rPr>
          <w:rStyle w:val="VerbatimChar"/>
        </w:rPr>
        <w:t xml:space="preserve">partly_cloudy</w:t>
      </w:r>
      <w:r>
        <w:t xml:space="preserve">,</w:t>
      </w:r>
      <w:r>
        <w:t xml:space="preserve"> </w:t>
      </w:r>
      <w:r>
        <w:rPr>
          <w:rStyle w:val="VerbatimChar"/>
        </w:rPr>
        <w:t xml:space="preserve">overcast</w:t>
      </w:r>
      <w:r>
        <w:t xml:space="preserve">. The default transition matrix is:</w:t>
      </w:r>
    </w:p>
    <w:tbl>
      <w:tblPr>
        <w:tblStyle w:val="Table"/>
        <w:tblW w:type="auto" w:w="0"/>
        <w:tblLook w:firstRow="1" w:lastRow="0" w:firstColumn="0" w:lastColumn="0" w:noHBand="0" w:noVBand="0" w:val="0020"/>
        <w:jc w:val="start"/>
      </w:tblPr>
      <w:tblGrid>
        <w:gridCol w:w="1980"/>
        <w:gridCol w:w="1980"/>
        <w:gridCol w:w="1980"/>
        <w:gridCol w:w="1980"/>
      </w:tblGrid>
      <w:tr>
        <w:trPr>
          <w:tblHeader w:val="true"/>
        </w:trPr>
        <w:tc>
          <w:tcPr/>
          <w:p>
            <w:pPr>
              <w:pStyle w:val="Compact"/>
              <w:jc w:val="left"/>
            </w:pPr>
            <w:r>
              <w:t xml:space="preserve">From / to</w:t>
            </w:r>
          </w:p>
        </w:tc>
        <w:tc>
          <w:tcPr/>
          <w:p>
            <w:pPr>
              <w:pStyle w:val="Compact"/>
              <w:jc w:val="right"/>
            </w:pPr>
            <w:r>
              <w:t xml:space="preserve">clear</w:t>
            </w:r>
          </w:p>
        </w:tc>
        <w:tc>
          <w:tcPr/>
          <w:p>
            <w:pPr>
              <w:pStyle w:val="Compact"/>
              <w:jc w:val="right"/>
            </w:pPr>
            <w:r>
              <w:t xml:space="preserve">partly_cloudy</w:t>
            </w:r>
          </w:p>
        </w:tc>
        <w:tc>
          <w:tcPr/>
          <w:p>
            <w:pPr>
              <w:pStyle w:val="Compact"/>
              <w:jc w:val="right"/>
            </w:pPr>
            <w:r>
              <w:t xml:space="preserve">overcast</w:t>
            </w:r>
          </w:p>
        </w:tc>
      </w:tr>
      <w:tr>
        <w:tc>
          <w:tcPr/>
          <w:p>
            <w:pPr>
              <w:pStyle w:val="Compact"/>
              <w:jc w:val="left"/>
            </w:pPr>
            <w:r>
              <w:t xml:space="preserve">clear</w:t>
            </w:r>
          </w:p>
        </w:tc>
        <w:tc>
          <w:tcPr/>
          <w:p>
            <w:pPr>
              <w:pStyle w:val="Compact"/>
              <w:jc w:val="right"/>
            </w:pPr>
            <w:r>
              <w:t xml:space="preserve">0.85</w:t>
            </w:r>
          </w:p>
        </w:tc>
        <w:tc>
          <w:tcPr/>
          <w:p>
            <w:pPr>
              <w:pStyle w:val="Compact"/>
              <w:jc w:val="right"/>
            </w:pPr>
            <w:r>
              <w:t xml:space="preserve">0.14</w:t>
            </w:r>
          </w:p>
        </w:tc>
        <w:tc>
          <w:tcPr/>
          <w:p>
            <w:pPr>
              <w:pStyle w:val="Compact"/>
              <w:jc w:val="right"/>
            </w:pPr>
            <w:r>
              <w:t xml:space="preserve">0.01</w:t>
            </w:r>
          </w:p>
        </w:tc>
      </w:tr>
      <w:tr>
        <w:tc>
          <w:tcPr/>
          <w:p>
            <w:pPr>
              <w:pStyle w:val="Compact"/>
              <w:jc w:val="left"/>
            </w:pPr>
            <w:r>
              <w:t xml:space="preserve">partly_cloudy</w:t>
            </w:r>
          </w:p>
        </w:tc>
        <w:tc>
          <w:tcPr/>
          <w:p>
            <w:pPr>
              <w:pStyle w:val="Compact"/>
              <w:jc w:val="right"/>
            </w:pPr>
            <w:r>
              <w:t xml:space="preserve">0.15</w:t>
            </w:r>
          </w:p>
        </w:tc>
        <w:tc>
          <w:tcPr/>
          <w:p>
            <w:pPr>
              <w:pStyle w:val="Compact"/>
              <w:jc w:val="right"/>
            </w:pPr>
            <w:r>
              <w:t xml:space="preserve">0.75</w:t>
            </w:r>
          </w:p>
        </w:tc>
        <w:tc>
          <w:tcPr/>
          <w:p>
            <w:pPr>
              <w:pStyle w:val="Compact"/>
              <w:jc w:val="right"/>
            </w:pPr>
            <w:r>
              <w:t xml:space="preserve">0.10</w:t>
            </w:r>
          </w:p>
        </w:tc>
      </w:tr>
      <w:tr>
        <w:tc>
          <w:tcPr/>
          <w:p>
            <w:pPr>
              <w:pStyle w:val="Compact"/>
              <w:jc w:val="left"/>
            </w:pPr>
            <w:r>
              <w:t xml:space="preserve">overcast</w:t>
            </w:r>
          </w:p>
        </w:tc>
        <w:tc>
          <w:tcPr/>
          <w:p>
            <w:pPr>
              <w:pStyle w:val="Compact"/>
              <w:jc w:val="right"/>
            </w:pPr>
            <w:r>
              <w:t xml:space="preserve">0.03</w:t>
            </w:r>
          </w:p>
        </w:tc>
        <w:tc>
          <w:tcPr/>
          <w:p>
            <w:pPr>
              <w:pStyle w:val="Compact"/>
              <w:jc w:val="right"/>
            </w:pPr>
            <w:r>
              <w:t xml:space="preserve">0.17</w:t>
            </w:r>
          </w:p>
        </w:tc>
        <w:tc>
          <w:tcPr/>
          <w:p>
            <w:pPr>
              <w:pStyle w:val="Compact"/>
              <w:jc w:val="right"/>
            </w:pPr>
            <w:r>
              <w:t xml:space="preserve">0.80</w:t>
            </w:r>
          </w:p>
        </w:tc>
      </w:tr>
    </w:tbl>
    <w:p>
      <w:pPr>
        <w:pStyle w:val="BodyText"/>
      </w:pPr>
      <w:r>
        <w:t xml:space="preserve">Within each state,</w:t>
      </w:r>
      <w:r>
        <w:t xml:space="preserve"> </w:t>
      </w:r>
      <w:r>
        <w:rPr>
          <w:rStyle w:val="VerbatimChar"/>
        </w:rPr>
        <w:t xml:space="preserve">cloud_fraction</w:t>
      </w:r>
      <w:r>
        <w:t xml:space="preserve"> </w:t>
      </w:r>
      <w:r>
        <w:t xml:space="preserve">is sampled from a Beta distribution:</w:t>
      </w:r>
    </w:p>
    <w:tbl>
      <w:tblPr>
        <w:tblStyle w:val="Table"/>
        <w:tblW w:type="auto" w:w="0"/>
        <w:tblLook w:firstRow="1" w:lastRow="0" w:firstColumn="0" w:lastColumn="0" w:noHBand="0" w:noVBand="0" w:val="0020"/>
        <w:jc w:val="start"/>
      </w:tblPr>
      <w:tblGrid>
        <w:gridCol w:w="2640"/>
        <w:gridCol w:w="2640"/>
        <w:gridCol w:w="2640"/>
      </w:tblGrid>
      <w:tr>
        <w:trPr>
          <w:tblHeader w:val="true"/>
        </w:trPr>
        <w:tc>
          <w:tcPr/>
          <w:p>
            <w:pPr>
              <w:pStyle w:val="Compact"/>
              <w:jc w:val="left"/>
            </w:pPr>
            <w:r>
              <w:t xml:space="preserve">State</w:t>
            </w:r>
          </w:p>
        </w:tc>
        <w:tc>
          <w:tcPr/>
          <w:p>
            <w:pPr>
              <w:pStyle w:val="Compact"/>
              <w:jc w:val="right"/>
            </w:pPr>
            <w:r>
              <w:t xml:space="preserve">alpha</w:t>
            </w:r>
          </w:p>
        </w:tc>
        <w:tc>
          <w:tcPr/>
          <w:p>
            <w:pPr>
              <w:pStyle w:val="Compact"/>
              <w:jc w:val="right"/>
            </w:pPr>
            <w:r>
              <w:t xml:space="preserve">beta</w:t>
            </w:r>
          </w:p>
        </w:tc>
      </w:tr>
      <w:tr>
        <w:tc>
          <w:tcPr/>
          <w:p>
            <w:pPr>
              <w:pStyle w:val="Compact"/>
              <w:jc w:val="left"/>
            </w:pPr>
            <w:r>
              <w:t xml:space="preserve">clear</w:t>
            </w:r>
          </w:p>
        </w:tc>
        <w:tc>
          <w:tcPr/>
          <w:p>
            <w:pPr>
              <w:pStyle w:val="Compact"/>
              <w:jc w:val="right"/>
            </w:pPr>
            <w:r>
              <w:t xml:space="preserve">2</w:t>
            </w:r>
          </w:p>
        </w:tc>
        <w:tc>
          <w:tcPr/>
          <w:p>
            <w:pPr>
              <w:pStyle w:val="Compact"/>
              <w:jc w:val="right"/>
            </w:pPr>
            <w:r>
              <w:t xml:space="preserve">8</w:t>
            </w:r>
          </w:p>
        </w:tc>
      </w:tr>
      <w:tr>
        <w:tc>
          <w:tcPr/>
          <w:p>
            <w:pPr>
              <w:pStyle w:val="Compact"/>
              <w:jc w:val="left"/>
            </w:pPr>
            <w:r>
              <w:t xml:space="preserve">partly_cloudy</w:t>
            </w:r>
          </w:p>
        </w:tc>
        <w:tc>
          <w:tcPr/>
          <w:p>
            <w:pPr>
              <w:pStyle w:val="Compact"/>
              <w:jc w:val="right"/>
            </w:pPr>
            <w:r>
              <w:t xml:space="preserve">4</w:t>
            </w:r>
          </w:p>
        </w:tc>
        <w:tc>
          <w:tcPr/>
          <w:p>
            <w:pPr>
              <w:pStyle w:val="Compact"/>
              <w:jc w:val="right"/>
            </w:pPr>
            <w:r>
              <w:t xml:space="preserve">4</w:t>
            </w:r>
          </w:p>
        </w:tc>
      </w:tr>
      <w:tr>
        <w:tc>
          <w:tcPr/>
          <w:p>
            <w:pPr>
              <w:pStyle w:val="Compact"/>
              <w:jc w:val="left"/>
            </w:pPr>
            <w:r>
              <w:t xml:space="preserve">overcast</w:t>
            </w:r>
          </w:p>
        </w:tc>
        <w:tc>
          <w:tcPr/>
          <w:p>
            <w:pPr>
              <w:pStyle w:val="Compact"/>
              <w:jc w:val="right"/>
            </w:pPr>
            <w:r>
              <w:t xml:space="preserve">8</w:t>
            </w:r>
          </w:p>
        </w:tc>
        <w:tc>
          <w:tcPr/>
          <w:p>
            <w:pPr>
              <w:pStyle w:val="Compact"/>
              <w:jc w:val="right"/>
            </w:pPr>
            <w:r>
              <w:t xml:space="preserve">2</w:t>
            </w:r>
          </w:p>
        </w:tc>
      </w:tr>
    </w:tbl>
    <w:p>
      <w:pPr>
        <w:pStyle w:val="BodyText"/>
      </w:pPr>
      <w:r>
        <w:t xml:space="preserve">The values are synthetic defaults, not universal climatology. A calibrated scenario SHOULD replace them.</w:t>
      </w:r>
    </w:p>
    <w:bookmarkEnd w:id="48"/>
    <w:bookmarkStart w:id="49" w:name="precipitation"/>
    <w:p>
      <w:pPr>
        <w:pStyle w:val="Heading2"/>
      </w:pPr>
      <w:r>
        <w:t xml:space="preserve">6.3 Precipitation</w:t>
      </w:r>
    </w:p>
    <w:p>
      <w:pPr>
        <w:pStyle w:val="FirstParagraph"/>
      </w:pPr>
      <w:r>
        <w:t xml:space="preserve">Rain state is a two-state Markov chain. The probability of entering and remaining wet depends on cloud state:</w:t>
      </w:r>
    </w:p>
    <w:tbl>
      <w:tblPr>
        <w:tblStyle w:val="Table"/>
        <w:tblW w:type="pct" w:w="5000"/>
        <w:tblLook w:firstRow="1" w:lastRow="0" w:firstColumn="0" w:lastColumn="0" w:noHBand="0" w:noVBand="0" w:val="0020"/>
        <w:jc w:val="start"/>
      </w:tblPr>
      <w:tblGrid>
        <w:gridCol w:w="2160"/>
        <w:gridCol w:w="2880"/>
        <w:gridCol w:w="2880"/>
      </w:tblGrid>
      <w:tr>
        <w:trPr>
          <w:tblHeader w:val="true"/>
        </w:trPr>
        <w:tc>
          <w:tcPr/>
          <w:p>
            <w:pPr>
              <w:pStyle w:val="Compact"/>
              <w:jc w:val="left"/>
            </w:pPr>
            <w:r>
              <w:t xml:space="preserve">Cloud state</w:t>
            </w:r>
          </w:p>
        </w:tc>
        <w:tc>
          <w:tcPr/>
          <w:p>
            <w:pPr>
              <w:pStyle w:val="Compact"/>
              <w:jc w:val="right"/>
            </w:pPr>
            <w:r>
              <w:t xml:space="preserve">P(wet at t given dry at t-1)</w:t>
            </w:r>
          </w:p>
        </w:tc>
        <w:tc>
          <w:tcPr/>
          <w:p>
            <w:pPr>
              <w:pStyle w:val="Compact"/>
              <w:jc w:val="right"/>
            </w:pPr>
            <w:r>
              <w:t xml:space="preserve">P(wet at t given wet at t-1)</w:t>
            </w:r>
          </w:p>
        </w:tc>
      </w:tr>
      <w:tr>
        <w:tc>
          <w:tcPr/>
          <w:p>
            <w:pPr>
              <w:pStyle w:val="Compact"/>
              <w:jc w:val="left"/>
            </w:pPr>
            <w:r>
              <w:t xml:space="preserve">clear</w:t>
            </w:r>
          </w:p>
        </w:tc>
        <w:tc>
          <w:tcPr/>
          <w:p>
            <w:pPr>
              <w:pStyle w:val="Compact"/>
              <w:jc w:val="right"/>
            </w:pPr>
            <w:r>
              <w:t xml:space="preserve">0.005</w:t>
            </w:r>
          </w:p>
        </w:tc>
        <w:tc>
          <w:tcPr/>
          <w:p>
            <w:pPr>
              <w:pStyle w:val="Compact"/>
              <w:jc w:val="right"/>
            </w:pPr>
            <w:r>
              <w:t xml:space="preserve">0.20</w:t>
            </w:r>
          </w:p>
        </w:tc>
      </w:tr>
      <w:tr>
        <w:tc>
          <w:tcPr/>
          <w:p>
            <w:pPr>
              <w:pStyle w:val="Compact"/>
              <w:jc w:val="left"/>
            </w:pPr>
            <w:r>
              <w:t xml:space="preserve">partly_cloudy</w:t>
            </w:r>
          </w:p>
        </w:tc>
        <w:tc>
          <w:tcPr/>
          <w:p>
            <w:pPr>
              <w:pStyle w:val="Compact"/>
              <w:jc w:val="right"/>
            </w:pPr>
            <w:r>
              <w:t xml:space="preserve">0.03</w:t>
            </w:r>
          </w:p>
        </w:tc>
        <w:tc>
          <w:tcPr/>
          <w:p>
            <w:pPr>
              <w:pStyle w:val="Compact"/>
              <w:jc w:val="right"/>
            </w:pPr>
            <w:r>
              <w:t xml:space="preserve">0.55</w:t>
            </w:r>
          </w:p>
        </w:tc>
      </w:tr>
      <w:tr>
        <w:tc>
          <w:tcPr/>
          <w:p>
            <w:pPr>
              <w:pStyle w:val="Compact"/>
              <w:jc w:val="left"/>
            </w:pPr>
            <w:r>
              <w:t xml:space="preserve">overcast</w:t>
            </w:r>
          </w:p>
        </w:tc>
        <w:tc>
          <w:tcPr/>
          <w:p>
            <w:pPr>
              <w:pStyle w:val="Compact"/>
              <w:jc w:val="right"/>
            </w:pPr>
            <w:r>
              <w:t xml:space="preserve">0.15</w:t>
            </w:r>
          </w:p>
        </w:tc>
        <w:tc>
          <w:tcPr/>
          <w:p>
            <w:pPr>
              <w:pStyle w:val="Compact"/>
              <w:jc w:val="right"/>
            </w:pPr>
            <w:r>
              <w:t xml:space="preserve">0.80</w:t>
            </w:r>
          </w:p>
        </w:tc>
      </w:tr>
    </w:tbl>
    <w:p>
      <w:pPr>
        <w:pStyle w:val="BodyText"/>
      </w:pPr>
      <w:r>
        <w:t xml:space="preserve">When wet, intensity is Gamma distributed in mm/h with configurable shape and scale; defaults are shape 1.5 and scale 1.5. When dry, precipitation is exactly zero.</w:t>
      </w:r>
    </w:p>
    <w:bookmarkEnd w:id="49"/>
    <w:bookmarkStart w:id="50" w:name="air-temperature-and-urban-heat-island"/>
    <w:p>
      <w:pPr>
        <w:pStyle w:val="Heading2"/>
      </w:pPr>
      <w:r>
        <w:t xml:space="preserve">6.4 Air temperature and urban heat island</w:t>
      </w:r>
    </w:p>
    <w:p>
      <w:pPr>
        <w:pStyle w:val="FirstParagraph"/>
      </w:pPr>
      <w:r>
        <w:t xml:space="preserve">Air temperature is:</w:t>
      </w:r>
    </w:p>
    <w:p>
      <w:pPr>
        <w:pStyle w:val="BodyText"/>
      </w:pPr>
      <m:oMathPara>
        <m:oMathParaPr>
          <m:jc m:val="center"/>
        </m:oMathParaPr>
        <m:oMath>
          <m:sSub>
            <m:e>
              <m:r>
                <m:t>T</m:t>
              </m:r>
            </m:e>
            <m:sub>
              <m:r>
                <m:t>a</m:t>
              </m:r>
            </m:sub>
          </m:sSub>
          <m:d>
            <m:dPr>
              <m:begChr m:val="("/>
              <m:endChr m:val=")"/>
              <m:sepChr m:val=""/>
              <m:grow/>
            </m:dPr>
            <m:e>
              <m:r>
                <m:t>t</m:t>
              </m:r>
            </m:e>
          </m:d>
          <m:r>
            <m:rPr>
              <m:sty m:val="p"/>
            </m:rPr>
            <m:t>=</m:t>
          </m:r>
          <m:sSub>
            <m:e>
              <m:r>
                <m:t>T</m:t>
              </m:r>
            </m:e>
            <m:sub>
              <m:r>
                <m:t>m</m:t>
              </m:r>
              <m:r>
                <m:t>e</m:t>
              </m:r>
              <m:r>
                <m:t>a</m:t>
              </m:r>
              <m:r>
                <m:t>n</m:t>
              </m:r>
            </m:sub>
          </m:sSub>
          <m:r>
            <m:rPr>
              <m:sty m:val="p"/>
            </m:rPr>
            <m:t>+</m:t>
          </m:r>
          <m:sSub>
            <m:e>
              <m:r>
                <m:t>A</m:t>
              </m:r>
            </m:e>
            <m:sub>
              <m:r>
                <m:t>T</m:t>
              </m:r>
            </m:sub>
          </m:sSub>
          <m:r>
            <m:rPr>
              <m:sty m:val="p"/>
            </m:rPr>
            <m:t>cos</m:t>
          </m:r>
          <m:d>
            <m:dPr>
              <m:begChr m:val="("/>
              <m:endChr m:val=")"/>
              <m:sepChr m:val=""/>
              <m:grow/>
            </m:dPr>
            <m:e>
              <m:f>
                <m:fPr>
                  <m:type m:val="bar"/>
                </m:fPr>
                <m:num>
                  <m:r>
                    <m:t>2</m:t>
                  </m:r>
                  <m:r>
                    <m:t>π</m:t>
                  </m:r>
                  <m:d>
                    <m:dPr>
                      <m:begChr m:val="("/>
                      <m:endChr m:val=")"/>
                      <m:sepChr m:val=""/>
                      <m:grow/>
                    </m:dPr>
                    <m:e>
                      <m:r>
                        <m:t>h</m:t>
                      </m:r>
                      <m:r>
                        <m:rPr>
                          <m:sty m:val="p"/>
                        </m:rPr>
                        <m:t>−</m:t>
                      </m:r>
                      <m:sSub>
                        <m:e>
                          <m:r>
                            <m:t>ϕ</m:t>
                          </m:r>
                        </m:e>
                        <m:sub>
                          <m:r>
                            <m:t>T</m:t>
                          </m:r>
                        </m:sub>
                      </m:sSub>
                    </m:e>
                  </m:d>
                </m:num>
                <m:den>
                  <m:r>
                    <m:t>24</m:t>
                  </m:r>
                </m:den>
              </m:f>
            </m:e>
          </m:d>
          <m:r>
            <m:rPr>
              <m:sty m:val="p"/>
            </m:rPr>
            <m:t>+</m:t>
          </m:r>
          <m:r>
            <m:t>Δ</m:t>
          </m:r>
          <m:sSub>
            <m:e>
              <m:r>
                <m:t>T</m:t>
              </m:r>
            </m:e>
            <m:sub>
              <m:r>
                <m:t>U</m:t>
              </m:r>
              <m:r>
                <m:t>H</m:t>
              </m:r>
              <m:r>
                <m:t>I</m:t>
              </m:r>
            </m:sub>
          </m:sSub>
          <m:d>
            <m:dPr>
              <m:begChr m:val="("/>
              <m:endChr m:val=")"/>
              <m:sepChr m:val=""/>
              <m:grow/>
            </m:dPr>
            <m:e>
              <m:r>
                <m:t>t</m:t>
              </m:r>
            </m:e>
          </m:d>
          <m:r>
            <m:rPr>
              <m:sty m:val="p"/>
            </m:rPr>
            <m:t>+</m:t>
          </m:r>
          <m:sSub>
            <m:e>
              <m:r>
                <m:t>ϵ</m:t>
              </m:r>
            </m:e>
            <m:sub>
              <m:r>
                <m:t>T</m:t>
              </m:r>
            </m:sub>
          </m:sSub>
          <m:d>
            <m:dPr>
              <m:begChr m:val="("/>
              <m:endChr m:val=")"/>
              <m:sepChr m:val=""/>
              <m:grow/>
            </m:dPr>
            <m:e>
              <m:r>
                <m:t>t</m:t>
              </m:r>
            </m:e>
          </m:d>
          <m:r>
            <m:rPr>
              <m:sty m:val="p"/>
            </m:rPr>
            <m:t>.</m:t>
          </m:r>
        </m:oMath>
      </m:oMathPara>
    </w:p>
    <w:p>
      <w:pPr>
        <w:pStyle w:val="FirstParagraph"/>
      </w:pPr>
      <w:r>
        <w:t xml:space="preserve">Let</w:t>
      </w:r>
      <w:r>
        <w:t xml:space="preserve"> </w:t>
      </w:r>
      <w:r>
        <w:rPr>
          <w:rStyle w:val="VerbatimChar"/>
        </w:rPr>
        <w:t xml:space="preserve">sunset_time</w:t>
      </w:r>
      <w:r>
        <w:t xml:space="preserve"> </w:t>
      </w:r>
      <w:r>
        <w:t xml:space="preserve">be derived from the solar module, and let</w:t>
      </w:r>
    </w:p>
    <w:p>
      <w:pPr>
        <w:pStyle w:val="BodyText"/>
      </w:pPr>
      <m:oMathPara>
        <m:oMathParaPr>
          <m:jc m:val="center"/>
        </m:oMathParaPr>
        <m:oMath>
          <m:sSub>
            <m:e>
              <m:r>
                <m:t>h</m:t>
              </m:r>
            </m:e>
            <m:sub>
              <m:r>
                <m:t>p</m:t>
              </m:r>
              <m:r>
                <m:t>e</m:t>
              </m:r>
              <m:r>
                <m:t>a</m:t>
              </m:r>
              <m:r>
                <m:t>k</m:t>
              </m:r>
            </m:sub>
          </m:sSub>
          <m:r>
            <m:rPr>
              <m:sty m:val="p"/>
            </m:rPr>
            <m:t>=</m:t>
          </m:r>
          <m:r>
            <m:t>s</m:t>
          </m:r>
          <m:r>
            <m:t>u</m:t>
          </m:r>
          <m:r>
            <m:t>n</m:t>
          </m:r>
          <m:r>
            <m:t>s</m:t>
          </m:r>
          <m:r>
            <m:t>e</m:t>
          </m:r>
          <m:r>
            <m:t>t</m:t>
          </m:r>
          <m:r>
            <m:rPr>
              <m:sty m:val="p"/>
            </m:rPr>
            <m:t>_</m:t>
          </m:r>
          <m:r>
            <m:t>t</m:t>
          </m:r>
          <m:r>
            <m:t>i</m:t>
          </m:r>
          <m:r>
            <m:t>m</m:t>
          </m:r>
          <m:r>
            <m:t>e</m:t>
          </m:r>
          <m:r>
            <m:rPr>
              <m:sty m:val="p"/>
            </m:rPr>
            <m:t>+</m:t>
          </m:r>
          <m:r>
            <m:t>u</m:t>
          </m:r>
          <m:r>
            <m:t>h</m:t>
          </m:r>
          <m:r>
            <m:t>i</m:t>
          </m:r>
          <m:r>
            <m:rPr>
              <m:sty m:val="p"/>
            </m:rPr>
            <m:t>_</m:t>
          </m:r>
          <m:r>
            <m:t>p</m:t>
          </m:r>
          <m:r>
            <m:t>e</m:t>
          </m:r>
          <m:r>
            <m:t>a</m:t>
          </m:r>
          <m:r>
            <m:t>k</m:t>
          </m:r>
          <m:r>
            <m:rPr>
              <m:sty m:val="p"/>
            </m:rPr>
            <m:t>_</m:t>
          </m:r>
          <m:r>
            <m:t>l</m:t>
          </m:r>
          <m:r>
            <m:t>a</m:t>
          </m:r>
          <m:r>
            <m:t>g</m:t>
          </m:r>
          <m:r>
            <m:rPr>
              <m:sty m:val="p"/>
            </m:rPr>
            <m:t>_</m:t>
          </m:r>
          <m:r>
            <m:t>h</m:t>
          </m:r>
          <m:r>
            <m:t>o</m:t>
          </m:r>
          <m:r>
            <m:t>u</m:t>
          </m:r>
          <m:r>
            <m:t>r</m:t>
          </m:r>
          <m:r>
            <m:t>s</m:t>
          </m:r>
          <m:r>
            <m:rPr>
              <m:sty m:val="p"/>
            </m:rPr>
            <m:t>.</m:t>
          </m:r>
        </m:oMath>
      </m:oMathPara>
    </w:p>
    <w:p>
      <w:pPr>
        <w:pStyle w:val="FirstParagraph"/>
      </w:pPr>
      <w:r>
        <w:t xml:space="preserve">Define the 24-hour circular distance</w:t>
      </w:r>
      <w:r>
        <w:t xml:space="preserve"> </w:t>
      </w:r>
      <m:oMath>
        <m:sSub>
          <m:e>
            <m:r>
              <m:t>d</m:t>
            </m:r>
          </m:e>
          <m:sub>
            <m:r>
              <m:t>24</m:t>
            </m:r>
          </m:sub>
        </m:sSub>
        <m:d>
          <m:dPr>
            <m:begChr m:val="("/>
            <m:endChr m:val=")"/>
            <m:sepChr m:val=""/>
            <m:grow/>
          </m:dPr>
          <m:e>
            <m:r>
              <m:t>h</m:t>
            </m:r>
            <m:r>
              <m:rPr>
                <m:sty m:val="p"/>
              </m:rPr>
              <m:t>,</m:t>
            </m:r>
            <m:sSub>
              <m:e>
                <m:r>
                  <m:t>h</m:t>
                </m:r>
              </m:e>
              <m:sub>
                <m:r>
                  <m:t>p</m:t>
                </m:r>
                <m:r>
                  <m:t>e</m:t>
                </m:r>
                <m:r>
                  <m:t>a</m:t>
                </m:r>
                <m:r>
                  <m:t>k</m:t>
                </m:r>
              </m:sub>
            </m:sSub>
          </m:e>
        </m:d>
      </m:oMath>
      <w:r>
        <w:t xml:space="preserve">. The nocturnal shape is</w:t>
      </w:r>
    </w:p>
    <w:p>
      <w:pPr>
        <w:pStyle w:val="BodyText"/>
      </w:pPr>
      <m:oMathPara>
        <m:oMathParaPr>
          <m:jc m:val="center"/>
        </m:oMathParaPr>
        <m:oMath>
          <m:r>
            <m:t>g</m:t>
          </m:r>
          <m:d>
            <m:dPr>
              <m:begChr m:val="("/>
              <m:endChr m:val=")"/>
              <m:sepChr m:val=""/>
              <m:grow/>
            </m:dPr>
            <m:e>
              <m:r>
                <m:t>h</m:t>
              </m:r>
            </m:e>
          </m:d>
          <m:r>
            <m:rPr>
              <m:sty m:val="p"/>
            </m:rPr>
            <m:t>=</m:t>
          </m:r>
          <m:r>
            <m:t>I</m:t>
          </m:r>
          <m:d>
            <m:dPr>
              <m:begChr m:val="("/>
              <m:endChr m:val=")"/>
              <m:sepChr m:val=""/>
              <m:grow/>
            </m:dPr>
            <m:e>
              <m:sSub>
                <m:e>
                  <m:r>
                    <m:t>α</m:t>
                  </m:r>
                </m:e>
                <m:sub>
                  <m:r>
                    <m:t>s</m:t>
                  </m:r>
                  <m:r>
                    <m:t>o</m:t>
                  </m:r>
                  <m:r>
                    <m:t>l</m:t>
                  </m:r>
                  <m:r>
                    <m:t>a</m:t>
                  </m:r>
                  <m:r>
                    <m:t>r</m:t>
                  </m:r>
                </m:sub>
              </m:sSub>
              <m:r>
                <m:rPr>
                  <m:sty m:val="p"/>
                </m:rPr>
                <m:t>&lt;</m:t>
              </m:r>
              <m:r>
                <m:t>0</m:t>
              </m:r>
            </m:e>
          </m:d>
          <m:r>
            <m:rPr>
              <m:sty m:val="p"/>
            </m:rPr>
            <m:t>exp</m:t>
          </m:r>
          <m:d>
            <m:dPr>
              <m:begChr m:val="["/>
              <m:endChr m:val="]"/>
              <m:sepChr m:val=""/>
              <m:grow/>
            </m:dPr>
            <m:e>
              <m:r>
                <m:rPr>
                  <m:sty m:val="p"/>
                </m:rPr>
                <m:t>−</m:t>
              </m:r>
              <m:f>
                <m:fPr>
                  <m:type m:val="bar"/>
                </m:fPr>
                <m:num>
                  <m:r>
                    <m:t>1</m:t>
                  </m:r>
                </m:num>
                <m:den>
                  <m:r>
                    <m:t>2</m:t>
                  </m:r>
                </m:den>
              </m:f>
              <m:sSup>
                <m:e>
                  <m:d>
                    <m:dPr>
                      <m:begChr m:val="("/>
                      <m:endChr m:val=")"/>
                      <m:sepChr m:val=""/>
                      <m:grow/>
                    </m:dPr>
                    <m:e>
                      <m:f>
                        <m:fPr>
                          <m:type m:val="bar"/>
                        </m:fPr>
                        <m:num>
                          <m:sSub>
                            <m:e>
                              <m:r>
                                <m:t>d</m:t>
                              </m:r>
                            </m:e>
                            <m:sub>
                              <m:r>
                                <m:t>24</m:t>
                              </m:r>
                            </m:sub>
                          </m:sSub>
                          <m:d>
                            <m:dPr>
                              <m:begChr m:val="("/>
                              <m:endChr m:val=")"/>
                              <m:sepChr m:val=""/>
                              <m:grow/>
                            </m:dPr>
                            <m:e>
                              <m:r>
                                <m:t>h</m:t>
                              </m:r>
                              <m:r>
                                <m:rPr>
                                  <m:sty m:val="p"/>
                                </m:rPr>
                                <m:t>,</m:t>
                              </m:r>
                              <m:sSub>
                                <m:e>
                                  <m:r>
                                    <m:t>h</m:t>
                                  </m:r>
                                </m:e>
                                <m:sub>
                                  <m:r>
                                    <m:t>p</m:t>
                                  </m:r>
                                  <m:r>
                                    <m:t>e</m:t>
                                  </m:r>
                                  <m:r>
                                    <m:t>a</m:t>
                                  </m:r>
                                  <m:r>
                                    <m:t>k</m:t>
                                  </m:r>
                                </m:sub>
                              </m:sSub>
                            </m:e>
                          </m:d>
                        </m:num>
                        <m:den>
                          <m:sSub>
                            <m:e>
                              <m:r>
                                <m:t>σ</m:t>
                              </m:r>
                            </m:e>
                            <m:sub>
                              <m:r>
                                <m:t>U</m:t>
                              </m:r>
                              <m:r>
                                <m:t>H</m:t>
                              </m:r>
                              <m:r>
                                <m:t>I</m:t>
                              </m:r>
                              <m:r>
                                <m:rPr>
                                  <m:sty m:val="p"/>
                                </m:rPr>
                                <m:t>,</m:t>
                              </m:r>
                              <m:r>
                                <m:t>h</m:t>
                              </m:r>
                            </m:sub>
                          </m:sSub>
                        </m:den>
                      </m:f>
                    </m:e>
                  </m:d>
                </m:e>
                <m:sup>
                  <m:r>
                    <m:t>2</m:t>
                  </m:r>
                </m:sup>
              </m:sSup>
            </m:e>
          </m:d>
          <m:r>
            <m:rPr>
              <m:sty m:val="p"/>
            </m:rPr>
            <m:t>.</m:t>
          </m:r>
        </m:oMath>
      </m:oMathPara>
    </w:p>
    <w:p>
      <w:pPr>
        <w:pStyle w:val="FirstParagraph"/>
      </w:pPr>
      <w:r>
        <w:t xml:space="preserve">Then</w:t>
      </w:r>
    </w:p>
    <w:p>
      <w:pPr>
        <w:pStyle w:val="BodyText"/>
      </w:pPr>
      <m:oMathPara>
        <m:oMathParaPr>
          <m:jc m:val="center"/>
        </m:oMathParaPr>
        <m:oMath>
          <m:r>
            <m:t>Δ</m:t>
          </m:r>
          <m:sSub>
            <m:e>
              <m:r>
                <m:t>T</m:t>
              </m:r>
            </m:e>
            <m:sub>
              <m:r>
                <m:t>U</m:t>
              </m:r>
              <m:r>
                <m:t>H</m:t>
              </m:r>
              <m:r>
                <m:t>I</m:t>
              </m:r>
            </m:sub>
          </m:sSub>
          <m:r>
            <m:rPr>
              <m:sty m:val="p"/>
            </m:rPr>
            <m:t>=</m:t>
          </m:r>
          <m:r>
            <m:t>Δ</m:t>
          </m:r>
          <m:sSub>
            <m:e>
              <m:r>
                <m:t>T</m:t>
              </m:r>
            </m:e>
            <m:sub>
              <m:r>
                <m:t>m</m:t>
              </m:r>
              <m:r>
                <m:t>a</m:t>
              </m:r>
              <m:r>
                <m:t>x</m:t>
              </m:r>
            </m:sub>
          </m:sSub>
          <m:r>
            <m:t> </m:t>
          </m:r>
          <m:r>
            <m:t>g</m:t>
          </m:r>
          <m:d>
            <m:dPr>
              <m:begChr m:val="("/>
              <m:endChr m:val=")"/>
              <m:sepChr m:val=""/>
              <m:grow/>
            </m:dPr>
            <m:e>
              <m:r>
                <m:t>h</m:t>
              </m:r>
            </m:e>
          </m:d>
          <m:d>
            <m:dPr>
              <m:begChr m:val="("/>
              <m:endChr m:val=")"/>
              <m:sepChr m:val=""/>
              <m:grow/>
            </m:dPr>
            <m:e>
              <m:r>
                <m:t>1</m:t>
              </m:r>
              <m:r>
                <m:rPr>
                  <m:sty m:val="p"/>
                </m:rPr>
                <m:t>−</m:t>
              </m:r>
              <m:sSub>
                <m:e>
                  <m:r>
                    <m:t>c</m:t>
                  </m:r>
                </m:e>
                <m:sub>
                  <m:r>
                    <m:t>c</m:t>
                  </m:r>
                  <m:r>
                    <m:t>l</m:t>
                  </m:r>
                  <m:r>
                    <m:t>o</m:t>
                  </m:r>
                  <m:r>
                    <m:t>u</m:t>
                  </m:r>
                  <m:r>
                    <m:t>d</m:t>
                  </m:r>
                </m:sub>
              </m:sSub>
              <m:r>
                <m:t> </m:t>
              </m:r>
              <m:r>
                <m:t>c</m:t>
              </m:r>
              <m:r>
                <m:t>l</m:t>
              </m:r>
              <m:r>
                <m:t>o</m:t>
              </m:r>
              <m:r>
                <m:t>u</m:t>
              </m:r>
              <m:r>
                <m:t>d</m:t>
              </m:r>
              <m:r>
                <m:rPr>
                  <m:sty m:val="p"/>
                </m:rPr>
                <m:t>_</m:t>
              </m:r>
              <m:r>
                <m:t>f</m:t>
              </m:r>
              <m:r>
                <m:t>r</m:t>
              </m:r>
              <m:r>
                <m:t>a</m:t>
              </m:r>
              <m:r>
                <m:t>c</m:t>
              </m:r>
              <m:r>
                <m:t>t</m:t>
              </m:r>
              <m:r>
                <m:t>i</m:t>
              </m:r>
              <m:r>
                <m:t>o</m:t>
              </m:r>
              <m:r>
                <m:t>n</m:t>
              </m:r>
            </m:e>
          </m:d>
          <m:d>
            <m:dPr>
              <m:begChr m:val="("/>
              <m:endChr m:val=")"/>
              <m:sepChr m:val=""/>
              <m:grow/>
            </m:dPr>
            <m:e>
              <m:r>
                <m:t>1</m:t>
              </m:r>
              <m:r>
                <m:rPr>
                  <m:sty m:val="p"/>
                </m:rPr>
                <m:t>−</m:t>
              </m:r>
              <m:sSub>
                <m:e>
                  <m:r>
                    <m:t>w</m:t>
                  </m:r>
                </m:e>
                <m:sub>
                  <m:r>
                    <m:t>u</m:t>
                  </m:r>
                </m:sub>
              </m:sSub>
              <m:f>
                <m:fPr>
                  <m:type m:val="bar"/>
                </m:fPr>
                <m:num>
                  <m:r>
                    <m:rPr>
                      <m:sty m:val="p"/>
                    </m:rPr>
                    <m:t>min</m:t>
                  </m:r>
                  <m:d>
                    <m:dPr>
                      <m:begChr m:val="("/>
                      <m:endChr m:val=")"/>
                      <m:sepChr m:val=""/>
                      <m:grow/>
                    </m:dPr>
                    <m:e>
                      <m:sSub>
                        <m:e>
                          <m:r>
                            <m:t>v</m:t>
                          </m:r>
                        </m:e>
                        <m:sub>
                          <m:r>
                            <m:t>10</m:t>
                          </m:r>
                        </m:sub>
                      </m:sSub>
                      <m:r>
                        <m:rPr>
                          <m:sty m:val="p"/>
                        </m:rPr>
                        <m:t>,</m:t>
                      </m:r>
                      <m:sSub>
                        <m:e>
                          <m:r>
                            <m:t>v</m:t>
                          </m:r>
                        </m:e>
                        <m:sub>
                          <m:r>
                            <m:t>s</m:t>
                          </m:r>
                          <m:r>
                            <m:t>a</m:t>
                          </m:r>
                          <m:r>
                            <m:t>t</m:t>
                          </m:r>
                        </m:sub>
                      </m:sSub>
                    </m:e>
                  </m:d>
                </m:num>
                <m:den>
                  <m:sSub>
                    <m:e>
                      <m:r>
                        <m:t>v</m:t>
                      </m:r>
                    </m:e>
                    <m:sub>
                      <m:r>
                        <m:t>s</m:t>
                      </m:r>
                      <m:r>
                        <m:t>a</m:t>
                      </m:r>
                      <m:r>
                        <m:t>t</m:t>
                      </m:r>
                    </m:sub>
                  </m:sSub>
                </m:den>
              </m:f>
            </m:e>
          </m:d>
          <m:r>
            <m:rPr>
              <m:sty m:val="p"/>
            </m:rPr>
            <m:t>.</m:t>
          </m:r>
        </m:oMath>
      </m:oMathPara>
    </w:p>
    <w:p>
      <w:pPr>
        <w:pStyle w:val="FirstParagraph"/>
      </w:pPr>
      <w:r>
        <w:t xml:space="preserve">The final wind factor MUST be clamped to</w:t>
      </w:r>
      <w:r>
        <w:t xml:space="preserve"> </w:t>
      </w:r>
      <m:oMath>
        <m:d>
          <m:dPr>
            <m:begChr m:val="["/>
            <m:endChr m:val="]"/>
            <m:sepChr m:val=""/>
            <m:grow/>
          </m:dPr>
          <m:e>
            <m:r>
              <m:t>0</m:t>
            </m:r>
            <m:r>
              <m:rPr>
                <m:sty m:val="p"/>
              </m:rPr>
              <m:t>,</m:t>
            </m:r>
            <m:r>
              <m:t>1</m:t>
            </m:r>
          </m:e>
        </m:d>
      </m:oMath>
      <w:r>
        <w:t xml:space="preserve">. All coefficient domains are validated before generation.</w:t>
      </w:r>
    </w:p>
    <w:p>
      <w:pPr>
        <w:pStyle w:val="BodyText"/>
      </w:pPr>
      <w:r>
        <w:rPr>
          <w:bCs/>
          <w:b/>
        </w:rPr>
        <w:t xml:space="preserve">Polar and no-sunset handling.</w:t>
      </w:r>
      <w:r>
        <w:t xml:space="preserve"> </w:t>
      </w:r>
      <w:r>
        <w:t xml:space="preserve">If the solar module reports no sunset for the scenario date (polar day), the nocturnal indicator is zero everywhere and the UHI term is zero. If it reports no sunrise (polar night),</w:t>
      </w:r>
      <w:r>
        <w:t xml:space="preserve"> </w:t>
      </w:r>
      <m:oMath>
        <m:sSub>
          <m:e>
            <m:r>
              <m:t>h</m:t>
            </m:r>
          </m:e>
          <m:sub>
            <m:r>
              <m:t>p</m:t>
            </m:r>
            <m:r>
              <m:t>e</m:t>
            </m:r>
            <m:r>
              <m:t>a</m:t>
            </m:r>
            <m:r>
              <m:t>k</m:t>
            </m:r>
          </m:sub>
        </m:sSub>
      </m:oMath>
      <w:r>
        <w:t xml:space="preserve"> </w:t>
      </w:r>
      <w:r>
        <w:t xml:space="preserve">is defined as local solar midnight plus</w:t>
      </w:r>
      <w:r>
        <w:t xml:space="preserve"> </w:t>
      </w:r>
      <w:r>
        <w:rPr>
          <w:rStyle w:val="VerbatimChar"/>
        </w:rPr>
        <w:t xml:space="preserve">uhi_peak_lag_hours</w:t>
      </w:r>
      <w:r>
        <w:t xml:space="preserve"> </w:t>
      </w:r>
      <w:r>
        <w:t xml:space="preserve">and the indicator is one for all hours. Both cases are flagged in validation metadata.</w:t>
      </w:r>
    </w:p>
    <w:bookmarkEnd w:id="50"/>
    <w:bookmarkStart w:id="51" w:name="vapour-pressure-and-relative-humidity"/>
    <w:p>
      <w:pPr>
        <w:pStyle w:val="Heading2"/>
      </w:pPr>
      <w:r>
        <w:t xml:space="preserve">6.5 Vapour pressure and relative humidity</w:t>
      </w:r>
    </w:p>
    <w:p>
      <w:pPr>
        <w:pStyle w:val="FirstParagraph"/>
      </w:pPr>
      <w:r>
        <w:t xml:space="preserve">Saturation vapour pressure in Pa is calculated with a Magnus-type formula. The coefficients below are the WMO-recommended set (Sonntag, 1990; WMO, 2018); they differ from the historical Tetens (1930) coefficients, so the popular label</w:t>
      </w:r>
      <w:r>
        <w:t xml:space="preserve"> </w:t>
      </w:r>
      <w:r>
        <w:t xml:space="preserve">“</w:t>
      </w:r>
      <w:r>
        <w:t xml:space="preserve">Magnus-Tetens</w:t>
      </w:r>
      <w:r>
        <w:t xml:space="preserve">”</w:t>
      </w:r>
      <w:r>
        <w:t xml:space="preserve"> </w:t>
      </w:r>
      <w:r>
        <w:t xml:space="preserve">is retained only informally:</w:t>
      </w:r>
    </w:p>
    <w:p>
      <w:pPr>
        <w:pStyle w:val="BodyText"/>
      </w:pPr>
      <m:oMathPara>
        <m:oMathParaPr>
          <m:jc m:val="center"/>
        </m:oMathParaPr>
        <m:oMath>
          <m:sSub>
            <m:e>
              <m:r>
                <m:t>e</m:t>
              </m:r>
            </m:e>
            <m:sub>
              <m:r>
                <m:t>s</m:t>
              </m:r>
              <m:r>
                <m:t>a</m:t>
              </m:r>
              <m:r>
                <m:t>t</m:t>
              </m:r>
            </m:sub>
          </m:sSub>
          <m:d>
            <m:dPr>
              <m:begChr m:val="("/>
              <m:endChr m:val=")"/>
              <m:sepChr m:val=""/>
              <m:grow/>
            </m:dPr>
            <m:e>
              <m:r>
                <m:t>T</m:t>
              </m:r>
            </m:e>
          </m:d>
          <m:r>
            <m:rPr>
              <m:sty m:val="p"/>
            </m:rPr>
            <m:t>=</m:t>
          </m:r>
          <m:r>
            <m:t>611.2</m:t>
          </m:r>
          <m:r>
            <m:rPr>
              <m:sty m:val="p"/>
            </m:rPr>
            <m:t>exp</m:t>
          </m:r>
          <m:d>
            <m:dPr>
              <m:begChr m:val="("/>
              <m:endChr m:val=")"/>
              <m:sepChr m:val=""/>
              <m:grow/>
            </m:dPr>
            <m:e>
              <m:f>
                <m:fPr>
                  <m:type m:val="bar"/>
                </m:fPr>
                <m:num>
                  <m:r>
                    <m:t>17.62</m:t>
                  </m:r>
                  <m:r>
                    <m:t>T</m:t>
                  </m:r>
                </m:num>
                <m:den>
                  <m:r>
                    <m:t>243.12</m:t>
                  </m:r>
                  <m:r>
                    <m:rPr>
                      <m:sty m:val="p"/>
                    </m:rPr>
                    <m:t>+</m:t>
                  </m:r>
                  <m:r>
                    <m:t>T</m:t>
                  </m:r>
                </m:den>
              </m:f>
            </m:e>
          </m:d>
          <m:r>
            <m:rPr>
              <m:sty m:val="p"/>
            </m:rPr>
            <m:t>.</m:t>
          </m:r>
        </m:oMath>
      </m:oMathPara>
    </w:p>
    <w:p>
      <w:pPr>
        <w:pStyle w:val="FirstParagraph"/>
      </w:pPr>
      <w:r>
        <w:t xml:space="preserve">Latent log vapour pressure is an AR(1) process around a configurable diurnal mean:</w:t>
      </w:r>
    </w:p>
    <w:p>
      <w:pPr>
        <w:pStyle w:val="BodyText"/>
      </w:pPr>
      <m:oMathPara>
        <m:oMathParaPr>
          <m:jc m:val="center"/>
        </m:oMathParaPr>
        <m:oMath>
          <m:sSub>
            <m:e>
              <m:r>
                <m:t>x</m:t>
              </m:r>
            </m:e>
            <m:sub>
              <m:r>
                <m:t>e</m:t>
              </m:r>
            </m:sub>
          </m:sSub>
          <m:d>
            <m:dPr>
              <m:begChr m:val="("/>
              <m:endChr m:val=")"/>
              <m:sepChr m:val=""/>
              <m:grow/>
            </m:dPr>
            <m:e>
              <m:r>
                <m:t>t</m:t>
              </m:r>
            </m:e>
          </m:d>
          <m:r>
            <m:rPr>
              <m:sty m:val="p"/>
            </m:rPr>
            <m:t>=</m:t>
          </m:r>
          <m:r>
            <m:rPr>
              <m:sty m:val="p"/>
            </m:rPr>
            <m:t>log</m:t>
          </m:r>
          <m:sSub>
            <m:e>
              <m:r>
                <m:t>e</m:t>
              </m:r>
            </m:e>
            <m:sub>
              <m:r>
                <m:t>m</m:t>
              </m:r>
              <m:r>
                <m:t>e</m:t>
              </m:r>
              <m:r>
                <m:t>a</m:t>
              </m:r>
              <m:r>
                <m:t>n</m:t>
              </m:r>
            </m:sub>
          </m:sSub>
          <m:d>
            <m:dPr>
              <m:begChr m:val="("/>
              <m:endChr m:val=")"/>
              <m:sepChr m:val=""/>
              <m:grow/>
            </m:dPr>
            <m:e>
              <m:r>
                <m:t>t</m:t>
              </m:r>
            </m:e>
          </m:d>
          <m:r>
            <m:rPr>
              <m:sty m:val="p"/>
            </m:rPr>
            <m:t>+</m:t>
          </m:r>
          <m:sSub>
            <m:e>
              <m:r>
                <m:t>ϕ</m:t>
              </m:r>
            </m:e>
            <m:sub>
              <m:r>
                <m:t>e</m:t>
              </m:r>
            </m:sub>
          </m:sSub>
          <m:d>
            <m:dPr>
              <m:begChr m:val="["/>
              <m:endChr m:val="]"/>
              <m:sepChr m:val=""/>
              <m:grow/>
            </m:dPr>
            <m:e>
              <m:sSub>
                <m:e>
                  <m:r>
                    <m:t>x</m:t>
                  </m:r>
                </m:e>
                <m:sub>
                  <m:r>
                    <m:t>e</m:t>
                  </m:r>
                </m:sub>
              </m:sSub>
              <m:d>
                <m:dPr>
                  <m:begChr m:val="("/>
                  <m:endChr m:val=")"/>
                  <m:sepChr m:val=""/>
                  <m:grow/>
                </m:dPr>
                <m:e>
                  <m:r>
                    <m:t>t</m:t>
                  </m:r>
                  <m:r>
                    <m:rPr>
                      <m:sty m:val="p"/>
                    </m:rPr>
                    <m:t>−</m:t>
                  </m:r>
                  <m:r>
                    <m:t>1</m:t>
                  </m:r>
                </m:e>
              </m:d>
              <m:r>
                <m:rPr>
                  <m:sty m:val="p"/>
                </m:rPr>
                <m:t>−</m:t>
              </m:r>
              <m:r>
                <m:rPr>
                  <m:sty m:val="p"/>
                </m:rPr>
                <m:t>log</m:t>
              </m:r>
              <m:sSub>
                <m:e>
                  <m:r>
                    <m:t>e</m:t>
                  </m:r>
                </m:e>
                <m:sub>
                  <m:r>
                    <m:t>m</m:t>
                  </m:r>
                  <m:r>
                    <m:t>e</m:t>
                  </m:r>
                  <m:r>
                    <m:t>a</m:t>
                  </m:r>
                  <m:r>
                    <m:t>n</m:t>
                  </m:r>
                </m:sub>
              </m:sSub>
              <m:d>
                <m:dPr>
                  <m:begChr m:val="("/>
                  <m:endChr m:val=")"/>
                  <m:sepChr m:val=""/>
                  <m:grow/>
                </m:dPr>
                <m:e>
                  <m:r>
                    <m:t>t</m:t>
                  </m:r>
                  <m:r>
                    <m:rPr>
                      <m:sty m:val="p"/>
                    </m:rPr>
                    <m:t>−</m:t>
                  </m:r>
                  <m:r>
                    <m:t>1</m:t>
                  </m:r>
                </m:e>
              </m:d>
            </m:e>
          </m:d>
          <m:r>
            <m:rPr>
              <m:sty m:val="p"/>
            </m:rPr>
            <m:t>+</m:t>
          </m:r>
          <m:sSub>
            <m:e>
              <m:r>
                <m:t>σ</m:t>
              </m:r>
            </m:e>
            <m:sub>
              <m:r>
                <m:t>e</m:t>
              </m:r>
            </m:sub>
          </m:sSub>
          <m:rad>
            <m:radPr>
              <m:degHide m:val="on"/>
            </m:radPr>
            <m:deg/>
            <m:e>
              <m:r>
                <m:t>1</m:t>
              </m:r>
              <m:r>
                <m:rPr>
                  <m:sty m:val="p"/>
                </m:rPr>
                <m:t>−</m:t>
              </m:r>
              <m:sSubSup>
                <m:e>
                  <m:r>
                    <m:t>ϕ</m:t>
                  </m:r>
                </m:e>
                <m:sub>
                  <m:r>
                    <m:t>e</m:t>
                  </m:r>
                </m:sub>
                <m:sup>
                  <m:r>
                    <m:t>2</m:t>
                  </m:r>
                </m:sup>
              </m:sSubSup>
            </m:e>
          </m:rad>
          <m:sSub>
            <m:e>
              <m:r>
                <m:t>Z</m:t>
              </m:r>
            </m:e>
            <m:sub>
              <m:r>
                <m:t>t</m:t>
              </m:r>
            </m:sub>
          </m:sSub>
          <m:r>
            <m:rPr>
              <m:sty m:val="p"/>
            </m:rPr>
            <m:t>.</m:t>
          </m:r>
        </m:oMath>
      </m:oMathPara>
    </w:p>
    <w:p>
      <w:pPr>
        <w:pStyle w:val="FirstParagraph"/>
      </w:pPr>
      <m:oMathPara>
        <m:oMathParaPr>
          <m:jc m:val="center"/>
        </m:oMathParaPr>
        <m:oMath>
          <m:sSub>
            <m:e>
              <m:r>
                <m:t>e</m:t>
              </m:r>
            </m:e>
            <m:sub>
              <m:r>
                <m:t>r</m:t>
              </m:r>
              <m:r>
                <m:t>a</m:t>
              </m:r>
              <m:r>
                <m:t>w</m:t>
              </m:r>
            </m:sub>
          </m:sSub>
          <m:d>
            <m:dPr>
              <m:begChr m:val="("/>
              <m:endChr m:val=")"/>
              <m:sepChr m:val=""/>
              <m:grow/>
            </m:dPr>
            <m:e>
              <m:r>
                <m:t>t</m:t>
              </m:r>
            </m:e>
          </m:d>
          <m:r>
            <m:rPr>
              <m:sty m:val="p"/>
            </m:rPr>
            <m:t>=</m:t>
          </m:r>
          <m:r>
            <m:rPr>
              <m:sty m:val="p"/>
            </m:rPr>
            <m:t>exp</m:t>
          </m:r>
          <m:d>
            <m:dPr>
              <m:begChr m:val="("/>
              <m:endChr m:val=")"/>
              <m:sepChr m:val=""/>
              <m:grow/>
            </m:dPr>
            <m:e>
              <m:sSub>
                <m:e>
                  <m:r>
                    <m:t>x</m:t>
                  </m:r>
                </m:e>
                <m:sub>
                  <m:r>
                    <m:t>e</m:t>
                  </m:r>
                </m:sub>
              </m:sSub>
              <m:d>
                <m:dPr>
                  <m:begChr m:val="("/>
                  <m:endChr m:val=")"/>
                  <m:sepChr m:val=""/>
                  <m:grow/>
                </m:dPr>
                <m:e>
                  <m:r>
                    <m:t>t</m:t>
                  </m:r>
                </m:e>
              </m:d>
            </m:e>
          </m:d>
          <m:r>
            <m:rPr>
              <m:sty m:val="p"/>
            </m:rPr>
            <m:t>,</m:t>
          </m:r>
          <m:r>
            <m:t>  </m:t>
          </m:r>
          <m:r>
            <m:t>e</m:t>
          </m:r>
          <m:d>
            <m:dPr>
              <m:begChr m:val="("/>
              <m:endChr m:val=")"/>
              <m:sepChr m:val=""/>
              <m:grow/>
            </m:dPr>
            <m:e>
              <m:r>
                <m:t>t</m:t>
              </m:r>
            </m:e>
          </m:d>
          <m:r>
            <m:rPr>
              <m:sty m:val="p"/>
            </m:rPr>
            <m:t>=</m:t>
          </m:r>
          <m:r>
            <m:rPr>
              <m:sty m:val="p"/>
            </m:rPr>
            <m:t>min</m:t>
          </m:r>
          <m:d>
            <m:dPr>
              <m:begChr m:val="("/>
              <m:endChr m:val=")"/>
              <m:sepChr m:val=""/>
              <m:grow/>
            </m:dPr>
            <m:e>
              <m:sSub>
                <m:e>
                  <m:r>
                    <m:t>e</m:t>
                  </m:r>
                </m:e>
                <m:sub>
                  <m:r>
                    <m:t>r</m:t>
                  </m:r>
                  <m:r>
                    <m:t>a</m:t>
                  </m:r>
                  <m:r>
                    <m:t>w</m:t>
                  </m:r>
                </m:sub>
              </m:sSub>
              <m:d>
                <m:dPr>
                  <m:begChr m:val="("/>
                  <m:endChr m:val=")"/>
                  <m:sepChr m:val=""/>
                  <m:grow/>
                </m:dPr>
                <m:e>
                  <m:r>
                    <m:t>t</m:t>
                  </m:r>
                </m:e>
              </m:d>
              <m:r>
                <m:rPr>
                  <m:sty m:val="p"/>
                </m:rPr>
                <m:t>,</m:t>
              </m:r>
              <m:sSub>
                <m:e>
                  <m:r>
                    <m:t>e</m:t>
                  </m:r>
                </m:e>
                <m:sub>
                  <m:r>
                    <m:t>s</m:t>
                  </m:r>
                  <m:r>
                    <m:t>a</m:t>
                  </m:r>
                  <m:r>
                    <m:t>t</m:t>
                  </m:r>
                </m:sub>
              </m:sSub>
              <m:d>
                <m:dPr>
                  <m:begChr m:val="("/>
                  <m:endChr m:val=")"/>
                  <m:sepChr m:val=""/>
                  <m:grow/>
                </m:dPr>
                <m:e>
                  <m:sSub>
                    <m:e>
                      <m:r>
                        <m:t>T</m:t>
                      </m:r>
                    </m:e>
                    <m:sub>
                      <m:r>
                        <m:t>a</m:t>
                      </m:r>
                    </m:sub>
                  </m:sSub>
                  <m:d>
                    <m:dPr>
                      <m:begChr m:val="("/>
                      <m:endChr m:val=")"/>
                      <m:sepChr m:val=""/>
                      <m:grow/>
                    </m:dPr>
                    <m:e>
                      <m:r>
                        <m:t>t</m:t>
                      </m:r>
                    </m:e>
                  </m:d>
                </m:e>
              </m:d>
            </m:e>
          </m:d>
          <m:r>
            <m:rPr>
              <m:sty m:val="p"/>
            </m:rPr>
            <m:t>.</m:t>
          </m:r>
        </m:oMath>
      </m:oMathPara>
    </w:p>
    <w:p>
      <w:pPr>
        <w:pStyle w:val="FirstParagraph"/>
      </w:pPr>
      <m:oMathPara>
        <m:oMathParaPr>
          <m:jc m:val="center"/>
        </m:oMathParaPr>
        <m:oMath>
          <m:r>
            <m:t>R</m:t>
          </m:r>
          <m:r>
            <m:t>H</m:t>
          </m:r>
          <m:d>
            <m:dPr>
              <m:begChr m:val="("/>
              <m:endChr m:val=")"/>
              <m:sepChr m:val=""/>
              <m:grow/>
            </m:dPr>
            <m:e>
              <m:r>
                <m:t>t</m:t>
              </m:r>
            </m:e>
          </m:d>
          <m:r>
            <m:rPr>
              <m:sty m:val="p"/>
            </m:rPr>
            <m:t>=</m:t>
          </m:r>
          <m:r>
            <m:t>100</m:t>
          </m:r>
          <m:r>
            <m:t> </m:t>
          </m:r>
          <m:r>
            <m:t>e</m:t>
          </m:r>
          <m:d>
            <m:dPr>
              <m:begChr m:val="("/>
              <m:endChr m:val=")"/>
              <m:sepChr m:val=""/>
              <m:grow/>
            </m:dPr>
            <m:e>
              <m:r>
                <m:t>t</m:t>
              </m:r>
            </m:e>
          </m:d>
          <m:r>
            <m:rPr>
              <m:sty m:val="p"/>
            </m:rPr>
            <m:t>/</m:t>
          </m:r>
          <m:sSub>
            <m:e>
              <m:r>
                <m:t>e</m:t>
              </m:r>
            </m:e>
            <m:sub>
              <m:r>
                <m:t>s</m:t>
              </m:r>
              <m:r>
                <m:t>a</m:t>
              </m:r>
              <m:r>
                <m:t>t</m:t>
              </m:r>
            </m:sub>
          </m:sSub>
          <m:d>
            <m:dPr>
              <m:begChr m:val="("/>
              <m:endChr m:val=")"/>
              <m:sepChr m:val=""/>
              <m:grow/>
            </m:dPr>
            <m:e>
              <m:sSub>
                <m:e>
                  <m:r>
                    <m:t>T</m:t>
                  </m:r>
                </m:e>
                <m:sub>
                  <m:r>
                    <m:t>a</m:t>
                  </m:r>
                </m:sub>
              </m:sSub>
              <m:d>
                <m:dPr>
                  <m:begChr m:val="("/>
                  <m:endChr m:val=")"/>
                  <m:sepChr m:val=""/>
                  <m:grow/>
                </m:dPr>
                <m:e>
                  <m:r>
                    <m:t>t</m:t>
                  </m:r>
                </m:e>
              </m:d>
            </m:e>
          </m:d>
          <m:r>
            <m:rPr>
              <m:sty m:val="p"/>
            </m:rPr>
            <m:t>.</m:t>
          </m:r>
        </m:oMath>
      </m:oMathPara>
    </w:p>
    <w:p>
      <w:pPr>
        <w:pStyle w:val="FirstParagraph"/>
      </w:pPr>
      <w:r>
        <w:t xml:space="preserve">The physical column</w:t>
      </w:r>
      <w:r>
        <w:t xml:space="preserve"> </w:t>
      </w:r>
      <w:r>
        <w:rPr>
          <w:rStyle w:val="VerbatimChar"/>
        </w:rPr>
        <w:t xml:space="preserve">vapour_pressure_pa</w:t>
      </w:r>
      <w:r>
        <w:t xml:space="preserve"> </w:t>
      </w:r>
      <w:r>
        <w:t xml:space="preserve">is emitted.</w:t>
      </w:r>
      <w:r>
        <w:t xml:space="preserve"> </w:t>
      </w:r>
      <w:r>
        <w:rPr>
          <w:rStyle w:val="VerbatimChar"/>
        </w:rPr>
        <w:t xml:space="preserve">relative_humidity_pct</w:t>
      </w:r>
      <w:r>
        <w:t xml:space="preserve"> </w:t>
      </w:r>
      <w:r>
        <w:t xml:space="preserve">is clamped only for floating-point roundoff to</w:t>
      </w:r>
      <w:r>
        <w:t xml:space="preserve"> </w:t>
      </w:r>
      <m:oMath>
        <m:d>
          <m:dPr>
            <m:begChr m:val="["/>
            <m:endChr m:val="]"/>
            <m:sepChr m:val=""/>
            <m:grow/>
          </m:dPr>
          <m:e>
            <m:r>
              <m:t>0</m:t>
            </m:r>
            <m:r>
              <m:rPr>
                <m:sty m:val="p"/>
              </m:rPr>
              <m:t>,</m:t>
            </m:r>
            <m:r>
              <m:t>100</m:t>
            </m:r>
          </m:e>
        </m:d>
      </m:oMath>
      <w:r>
        <w:t xml:space="preserve">; substantive supersaturation is prevented by the vapour-pressure cap and is counted in validation.</w:t>
      </w:r>
    </w:p>
    <w:bookmarkEnd w:id="51"/>
    <w:bookmarkStart w:id="52" w:name="X7752b16b4a5f749b6326fb694afc21021638d38"/>
    <w:p>
      <w:pPr>
        <w:pStyle w:val="Heading2"/>
      </w:pPr>
      <w:r>
        <w:t xml:space="preserve">6.6 Wind with a Weibull marginal and temporal dependence</w:t>
      </w:r>
    </w:p>
    <w:p>
      <w:pPr>
        <w:pStyle w:val="FirstParagraph"/>
      </w:pPr>
      <w:r>
        <w:t xml:space="preserve">The Core profile uses a Gaussian-copula AR(1) process:</w:t>
      </w:r>
    </w:p>
    <w:p>
      <w:pPr>
        <w:pStyle w:val="BodyText"/>
      </w:pPr>
      <m:oMathPara>
        <m:oMathParaPr>
          <m:jc m:val="center"/>
        </m:oMathParaPr>
        <m:oMath>
          <m:sSub>
            <m:e>
              <m:r>
                <m:t>z</m:t>
              </m:r>
            </m:e>
            <m:sub>
              <m:r>
                <m:t>t</m:t>
              </m:r>
            </m:sub>
          </m:sSub>
          <m:r>
            <m:rPr>
              <m:sty m:val="p"/>
            </m:rPr>
            <m:t>=</m:t>
          </m:r>
          <m:sSub>
            <m:e>
              <m:r>
                <m:t>ϕ</m:t>
              </m:r>
            </m:e>
            <m:sub>
              <m:r>
                <m:t>w</m:t>
              </m:r>
            </m:sub>
          </m:sSub>
          <m:sSub>
            <m:e>
              <m:r>
                <m:t>z</m:t>
              </m:r>
            </m:e>
            <m:sub>
              <m:r>
                <m:t>t</m:t>
              </m:r>
              <m:r>
                <m:rPr>
                  <m:sty m:val="p"/>
                </m:rPr>
                <m:t>−</m:t>
              </m:r>
              <m:r>
                <m:t>1</m:t>
              </m:r>
            </m:sub>
          </m:sSub>
          <m:r>
            <m:rPr>
              <m:sty m:val="p"/>
            </m:rPr>
            <m:t>+</m:t>
          </m:r>
          <m:rad>
            <m:radPr>
              <m:degHide m:val="on"/>
            </m:radPr>
            <m:deg/>
            <m:e>
              <m:r>
                <m:t>1</m:t>
              </m:r>
              <m:r>
                <m:rPr>
                  <m:sty m:val="p"/>
                </m:rPr>
                <m:t>−</m:t>
              </m:r>
              <m:sSubSup>
                <m:e>
                  <m:r>
                    <m:t>ϕ</m:t>
                  </m:r>
                </m:e>
                <m:sub>
                  <m:r>
                    <m:t>w</m:t>
                  </m:r>
                </m:sub>
                <m:sup>
                  <m:r>
                    <m:t>2</m:t>
                  </m:r>
                </m:sup>
              </m:sSubSup>
            </m:e>
          </m:rad>
          <m:sSub>
            <m:e>
              <m:r>
                <m:t>ϵ</m:t>
              </m:r>
            </m:e>
            <m:sub>
              <m:r>
                <m:t>t</m:t>
              </m:r>
            </m:sub>
          </m:sSub>
          <m:r>
            <m:rPr>
              <m:sty m:val="p"/>
            </m:rPr>
            <m:t>,</m:t>
          </m:r>
          <m:r>
            <m:t>  </m:t>
          </m:r>
          <m:sSub>
            <m:e>
              <m:r>
                <m:t>ϵ</m:t>
              </m:r>
            </m:e>
            <m:sub>
              <m:r>
                <m:t>t</m:t>
              </m:r>
            </m:sub>
          </m:sSub>
          <m:r>
            <m:rPr>
              <m:sty m:val="p"/>
            </m:rPr>
            <m:t>∼</m:t>
          </m:r>
          <m:r>
            <m:t>N</m:t>
          </m:r>
          <m:d>
            <m:dPr>
              <m:begChr m:val="("/>
              <m:endChr m:val=")"/>
              <m:sepChr m:val=""/>
              <m:grow/>
            </m:dPr>
            <m:e>
              <m:r>
                <m:t>0</m:t>
              </m:r>
              <m:r>
                <m:rPr>
                  <m:sty m:val="p"/>
                </m:rPr>
                <m:t>,</m:t>
              </m:r>
              <m:r>
                <m:t>1</m:t>
              </m:r>
            </m:e>
          </m:d>
          <m:r>
            <m:rPr>
              <m:sty m:val="p"/>
            </m:rPr>
            <m:t>,</m:t>
          </m:r>
        </m:oMath>
      </m:oMathPara>
    </w:p>
    <w:p>
      <w:pPr>
        <w:pStyle w:val="FirstParagraph"/>
      </w:pPr>
      <m:oMathPara>
        <m:oMathParaPr>
          <m:jc m:val="center"/>
        </m:oMathParaPr>
        <m:oMath>
          <m:sSub>
            <m:e>
              <m:r>
                <m:t>q</m:t>
              </m:r>
            </m:e>
            <m:sub>
              <m:r>
                <m:t>t</m:t>
              </m:r>
            </m:sub>
          </m:sSub>
          <m:r>
            <m:rPr>
              <m:sty m:val="p"/>
            </m:rPr>
            <m:t>=</m:t>
          </m:r>
          <m:r>
            <m:t>Φ</m:t>
          </m:r>
          <m:d>
            <m:dPr>
              <m:begChr m:val="("/>
              <m:endChr m:val=")"/>
              <m:sepChr m:val=""/>
              <m:grow/>
            </m:dPr>
            <m:e>
              <m:sSub>
                <m:e>
                  <m:r>
                    <m:t>z</m:t>
                  </m:r>
                </m:e>
                <m:sub>
                  <m:r>
                    <m:t>t</m:t>
                  </m:r>
                </m:sub>
              </m:sSub>
            </m:e>
          </m:d>
          <m:r>
            <m:rPr>
              <m:sty m:val="p"/>
            </m:rPr>
            <m:t>,</m:t>
          </m:r>
          <m:r>
            <m:t>  </m:t>
          </m:r>
          <m:sSub>
            <m:e>
              <m:r>
                <m:t>v</m:t>
              </m:r>
            </m:e>
            <m:sub>
              <m:r>
                <m:t>10</m:t>
              </m:r>
              <m:r>
                <m:rPr>
                  <m:sty m:val="p"/>
                </m:rPr>
                <m:t>,</m:t>
              </m:r>
              <m:r>
                <m:t>t</m:t>
              </m:r>
            </m:sub>
          </m:sSub>
          <m:r>
            <m:rPr>
              <m:sty m:val="p"/>
            </m:rPr>
            <m:t>=</m:t>
          </m:r>
          <m:r>
            <m:t>c</m:t>
          </m:r>
          <m:sSup>
            <m:e>
              <m:d>
                <m:dPr>
                  <m:begChr m:val="["/>
                  <m:endChr m:val="]"/>
                  <m:sepChr m:val=""/>
                  <m:grow/>
                </m:dPr>
                <m:e>
                  <m:r>
                    <m:rPr>
                      <m:sty m:val="p"/>
                    </m:rPr>
                    <m:t>−</m:t>
                  </m:r>
                  <m:r>
                    <m:rPr>
                      <m:sty m:val="p"/>
                    </m:rPr>
                    <m:t>ln</m:t>
                  </m:r>
                  <m:d>
                    <m:dPr>
                      <m:begChr m:val="("/>
                      <m:endChr m:val=")"/>
                      <m:sepChr m:val=""/>
                      <m:grow/>
                    </m:dPr>
                    <m:e>
                      <m:r>
                        <m:t>1</m:t>
                      </m:r>
                      <m:r>
                        <m:rPr>
                          <m:sty m:val="p"/>
                        </m:rPr>
                        <m:t>−</m:t>
                      </m:r>
                      <m:sSub>
                        <m:e>
                          <m:r>
                            <m:t>q</m:t>
                          </m:r>
                        </m:e>
                        <m:sub>
                          <m:r>
                            <m:t>t</m:t>
                          </m:r>
                        </m:sub>
                      </m:sSub>
                    </m:e>
                  </m:d>
                </m:e>
              </m:d>
            </m:e>
            <m:sup>
              <m:r>
                <m:t>1</m:t>
              </m:r>
              <m:r>
                <m:rPr>
                  <m:sty m:val="p"/>
                </m:rPr>
                <m:t>/</m:t>
              </m:r>
              <m:r>
                <m:t>k</m:t>
              </m:r>
            </m:sup>
          </m:sSup>
          <m:r>
            <m:rPr>
              <m:sty m:val="p"/>
            </m:rPr>
            <m:t>.</m:t>
          </m:r>
        </m:oMath>
      </m:oMathPara>
    </w:p>
    <w:p>
      <w:pPr>
        <w:pStyle w:val="FirstParagraph"/>
      </w:pPr>
      <w:r>
        <w:t xml:space="preserve">This preserves a Weibull marginal while introducing temporal dependence. Validation tests the transformed latent values or the marginal CDF, not an incorrect i.i.d. assumption on the final time series.</w:t>
      </w:r>
    </w:p>
    <w:p>
      <w:pPr>
        <w:pStyle w:val="BodyText"/>
      </w:pPr>
      <w:r>
        <w:t xml:space="preserve">Pedestrian-height wind is:</w:t>
      </w:r>
    </w:p>
    <w:p>
      <w:pPr>
        <w:pStyle w:val="BodyText"/>
      </w:pPr>
      <m:oMathPara>
        <m:oMathParaPr>
          <m:jc m:val="center"/>
        </m:oMathParaPr>
        <m:oMath>
          <m:r>
            <m:t>v</m:t>
          </m:r>
          <m:d>
            <m:dPr>
              <m:begChr m:val="("/>
              <m:endChr m:val=")"/>
              <m:sepChr m:val=""/>
              <m:grow/>
            </m:dPr>
            <m:e>
              <m:r>
                <m:t>z</m:t>
              </m:r>
            </m:e>
          </m:d>
          <m:r>
            <m:rPr>
              <m:sty m:val="p"/>
            </m:rPr>
            <m:t>=</m:t>
          </m:r>
          <m:sSub>
            <m:e>
              <m:r>
                <m:t>v</m:t>
              </m:r>
            </m:e>
            <m:sub>
              <m:r>
                <m:t>10</m:t>
              </m:r>
            </m:sub>
          </m:sSub>
          <m:f>
            <m:fPr>
              <m:type m:val="bar"/>
            </m:fPr>
            <m:num>
              <m:r>
                <m:rPr>
                  <m:sty m:val="p"/>
                </m:rPr>
                <m:t>ln</m:t>
              </m:r>
              <m:d>
                <m:dPr>
                  <m:begChr m:val="("/>
                  <m:endChr m:val=")"/>
                  <m:sepChr m:val=""/>
                  <m:grow/>
                </m:dPr>
                <m:e>
                  <m:r>
                    <m:t>z</m:t>
                  </m:r>
                  <m:r>
                    <m:rPr>
                      <m:sty m:val="p"/>
                    </m:rPr>
                    <m:t>/</m:t>
                  </m:r>
                  <m:sSub>
                    <m:e>
                      <m:r>
                        <m:t>z</m:t>
                      </m:r>
                    </m:e>
                    <m:sub>
                      <m:r>
                        <m:t>0</m:t>
                      </m:r>
                    </m:sub>
                  </m:sSub>
                </m:e>
              </m:d>
            </m:num>
            <m:den>
              <m:r>
                <m:rPr>
                  <m:sty m:val="p"/>
                </m:rPr>
                <m:t>ln</m:t>
              </m:r>
              <m:d>
                <m:dPr>
                  <m:begChr m:val="("/>
                  <m:endChr m:val=")"/>
                  <m:sepChr m:val=""/>
                  <m:grow/>
                </m:dPr>
                <m:e>
                  <m:r>
                    <m:t>10</m:t>
                  </m:r>
                  <m:r>
                    <m:rPr>
                      <m:sty m:val="p"/>
                    </m:rPr>
                    <m:t>/</m:t>
                  </m:r>
                  <m:sSub>
                    <m:e>
                      <m:r>
                        <m:t>z</m:t>
                      </m:r>
                    </m:e>
                    <m:sub>
                      <m:r>
                        <m:t>0</m:t>
                      </m:r>
                    </m:sub>
                  </m:sSub>
                </m:e>
              </m:d>
            </m:den>
          </m:f>
          <m:r>
            <m:rPr>
              <m:sty m:val="p"/>
            </m:rPr>
            <m:t>,</m:t>
          </m:r>
        </m:oMath>
      </m:oMathPara>
    </w:p>
    <w:p>
      <w:pPr>
        <w:pStyle w:val="FirstParagraph"/>
      </w:pPr>
      <w:r>
        <w:t xml:space="preserve">valid only for</w:t>
      </w:r>
      <w:r>
        <w:t xml:space="preserve"> </w:t>
      </w:r>
      <m:oMath>
        <m:r>
          <m:t>z</m:t>
        </m:r>
        <m:r>
          <m:rPr>
            <m:sty m:val="p"/>
          </m:rPr>
          <m:t>&gt;</m:t>
        </m:r>
        <m:sSub>
          <m:e>
            <m:r>
              <m:t>z</m:t>
            </m:r>
          </m:e>
          <m:sub>
            <m:r>
              <m:t>0</m:t>
            </m:r>
          </m:sub>
        </m:sSub>
      </m:oMath>
      <w:r>
        <w:t xml:space="preserve">. The default pedestrian height is 1.5 m. Invalid roughness configurations are rejected.</w:t>
      </w:r>
    </w:p>
    <w:bookmarkEnd w:id="52"/>
    <w:bookmarkStart w:id="53" w:name="mean-radiant-temperature-approximation"/>
    <w:p>
      <w:pPr>
        <w:pStyle w:val="Heading2"/>
      </w:pPr>
      <w:r>
        <w:t xml:space="preserve">6.7 Mean radiant temperature approximation</w:t>
      </w:r>
    </w:p>
    <w:p>
      <w:pPr>
        <w:pStyle w:val="FirstParagraph"/>
      </w:pPr>
      <w:r>
        <w:t xml:space="preserve">The Core profile uses a declared operational approximation, not a full radiation model. Define</w:t>
      </w:r>
    </w:p>
    <w:p>
      <w:pPr>
        <w:pStyle w:val="BodyText"/>
      </w:pPr>
      <m:oMathPara>
        <m:oMathParaPr>
          <m:jc m:val="center"/>
        </m:oMathParaPr>
        <m:oMath>
          <m:r>
            <m:t>S</m:t>
          </m:r>
          <m:d>
            <m:dPr>
              <m:begChr m:val="("/>
              <m:endChr m:val=")"/>
              <m:sepChr m:val=""/>
              <m:grow/>
            </m:dPr>
            <m:e>
              <m:r>
                <m:t>t</m:t>
              </m:r>
            </m:e>
          </m:d>
          <m:r>
            <m:rPr>
              <m:sty m:val="p"/>
            </m:rPr>
            <m:t>=</m:t>
          </m:r>
          <m:r>
            <m:rPr>
              <m:sty m:val="p"/>
            </m:rPr>
            <m:t>max</m:t>
          </m:r>
          <m:d>
            <m:dPr>
              <m:begChr m:val="("/>
              <m:endChr m:val=")"/>
              <m:sepChr m:val=""/>
              <m:grow/>
            </m:dPr>
            <m:e>
              <m:r>
                <m:t>0</m:t>
              </m:r>
              <m:r>
                <m:rPr>
                  <m:sty m:val="p"/>
                </m:rPr>
                <m:t>,</m:t>
              </m:r>
              <m:r>
                <m:rPr>
                  <m:sty m:val="p"/>
                </m:rPr>
                <m:t>sin</m:t>
              </m:r>
              <m:sSub>
                <m:e>
                  <m:r>
                    <m:t>α</m:t>
                  </m:r>
                </m:e>
                <m:sub>
                  <m:r>
                    <m:t>s</m:t>
                  </m:r>
                  <m:r>
                    <m:t>o</m:t>
                  </m:r>
                  <m:r>
                    <m:t>l</m:t>
                  </m:r>
                  <m:r>
                    <m:t>a</m:t>
                  </m:r>
                  <m:r>
                    <m:t>r</m:t>
                  </m:r>
                </m:sub>
              </m:sSub>
            </m:e>
          </m:d>
          <m:d>
            <m:dPr>
              <m:begChr m:val="("/>
              <m:endChr m:val=")"/>
              <m:sepChr m:val=""/>
              <m:grow/>
            </m:dPr>
            <m:e>
              <m:r>
                <m:t>1</m:t>
              </m:r>
              <m:r>
                <m:rPr>
                  <m:sty m:val="p"/>
                </m:rPr>
                <m:t>−</m:t>
              </m:r>
              <m:r>
                <m:t>0.75</m:t>
              </m:r>
              <m:r>
                <m:t> </m:t>
              </m:r>
              <m:r>
                <m:t>c</m:t>
              </m:r>
              <m:r>
                <m:t>l</m:t>
              </m:r>
              <m:r>
                <m:t>o</m:t>
              </m:r>
              <m:r>
                <m:t>u</m:t>
              </m:r>
              <m:r>
                <m:t>d</m:t>
              </m:r>
              <m:r>
                <m:rPr>
                  <m:sty m:val="p"/>
                </m:rPr>
                <m:t>_</m:t>
              </m:r>
              <m:r>
                <m:t>f</m:t>
              </m:r>
              <m:r>
                <m:t>r</m:t>
              </m:r>
              <m:r>
                <m:t>a</m:t>
              </m:r>
              <m:r>
                <m:t>c</m:t>
              </m:r>
              <m:r>
                <m:t>t</m:t>
              </m:r>
              <m:r>
                <m:t>i</m:t>
              </m:r>
              <m:r>
                <m:t>o</m:t>
              </m:r>
              <m:sSup>
                <m:e>
                  <m:r>
                    <m:t>n</m:t>
                  </m:r>
                </m:e>
                <m:sup>
                  <m:r>
                    <m:t>3.4</m:t>
                  </m:r>
                </m:sup>
              </m:sSup>
            </m:e>
          </m:d>
          <m:r>
            <m:rPr>
              <m:sty m:val="p"/>
            </m:rPr>
            <m:t>,</m:t>
          </m:r>
        </m:oMath>
      </m:oMathPara>
    </w:p>
    <w:p>
      <w:pPr>
        <w:pStyle w:val="FirstParagraph"/>
      </w:pPr>
      <w:r>
        <w:t xml:space="preserve">where the cloud transmissivity factor follows Kasten and Czeplak (1980),</w:t>
      </w:r>
    </w:p>
    <w:p>
      <w:pPr>
        <w:pStyle w:val="BodyText"/>
      </w:pPr>
      <w:r>
        <w:t xml:space="preserve">and</w:t>
      </w:r>
    </w:p>
    <w:p>
      <w:pPr>
        <w:pStyle w:val="BodyText"/>
      </w:pPr>
      <m:oMathPara>
        <m:oMathParaPr>
          <m:jc m:val="center"/>
        </m:oMathParaPr>
        <m:oMath>
          <m:sSub>
            <m:e>
              <m:r>
                <m:t>T</m:t>
              </m:r>
            </m:e>
            <m:sub>
              <m:r>
                <m:t>m</m:t>
              </m:r>
              <m:r>
                <m:t>r</m:t>
              </m:r>
              <m:r>
                <m:t>t</m:t>
              </m:r>
            </m:sub>
          </m:sSub>
          <m:r>
            <m:rPr>
              <m:sty m:val="p"/>
            </m:rPr>
            <m:t>=</m:t>
          </m:r>
          <m:sSub>
            <m:e>
              <m:r>
                <m:t>T</m:t>
              </m:r>
            </m:e>
            <m:sub>
              <m:r>
                <m:t>a</m:t>
              </m:r>
            </m:sub>
          </m:sSub>
          <m:r>
            <m:rPr>
              <m:sty m:val="p"/>
            </m:rPr>
            <m:t>+</m:t>
          </m:r>
          <m:sSub>
            <m:e>
              <m:r>
                <m:t>k</m:t>
              </m:r>
            </m:e>
            <m:sub>
              <m:r>
                <m:t>s</m:t>
              </m:r>
              <m:r>
                <m:t>o</m:t>
              </m:r>
              <m:r>
                <m:t>l</m:t>
              </m:r>
              <m:r>
                <m:t>a</m:t>
              </m:r>
              <m:r>
                <m:t>r</m:t>
              </m:r>
            </m:sub>
          </m:sSub>
          <m:d>
            <m:dPr>
              <m:begChr m:val="("/>
              <m:endChr m:val=")"/>
              <m:sepChr m:val=""/>
              <m:grow/>
            </m:dPr>
            <m:e>
              <m:r>
                <m:t>1</m:t>
              </m:r>
              <m:r>
                <m:rPr>
                  <m:sty m:val="p"/>
                </m:rPr>
                <m:t>−</m:t>
              </m:r>
              <m:r>
                <m:t>s</m:t>
              </m:r>
              <m:r>
                <m:t>h</m:t>
              </m:r>
              <m:r>
                <m:t>a</m:t>
              </m:r>
              <m:r>
                <m:t>d</m:t>
              </m:r>
              <m:r>
                <m:t>e</m:t>
              </m:r>
              <m:r>
                <m:rPr>
                  <m:sty m:val="p"/>
                </m:rPr>
                <m:t>_</m:t>
              </m:r>
              <m:r>
                <m:t>f</m:t>
              </m:r>
              <m:r>
                <m:t>r</m:t>
              </m:r>
              <m:r>
                <m:t>a</m:t>
              </m:r>
              <m:r>
                <m:t>c</m:t>
              </m:r>
              <m:r>
                <m:t>t</m:t>
              </m:r>
              <m:r>
                <m:t>i</m:t>
              </m:r>
              <m:r>
                <m:t>o</m:t>
              </m:r>
              <m:r>
                <m:t>n</m:t>
              </m:r>
            </m:e>
          </m:d>
          <m:d>
            <m:dPr>
              <m:begChr m:val="("/>
              <m:endChr m:val=")"/>
              <m:sepChr m:val=""/>
              <m:grow/>
            </m:dPr>
            <m:e>
              <m:r>
                <m:t>1</m:t>
              </m:r>
              <m:r>
                <m:rPr>
                  <m:sty m:val="p"/>
                </m:rPr>
                <m:t>+</m:t>
              </m:r>
              <m:r>
                <m:t>0.5</m:t>
              </m:r>
              <m:r>
                <m:t> </m:t>
              </m:r>
              <m:r>
                <m:t>s</m:t>
              </m:r>
              <m:r>
                <m:t>u</m:t>
              </m:r>
              <m:r>
                <m:t>r</m:t>
              </m:r>
              <m:r>
                <m:t>f</m:t>
              </m:r>
              <m:r>
                <m:t>a</m:t>
              </m:r>
              <m:r>
                <m:t>c</m:t>
              </m:r>
              <m:r>
                <m:t>e</m:t>
              </m:r>
              <m:r>
                <m:rPr>
                  <m:sty m:val="p"/>
                </m:rPr>
                <m:t>_</m:t>
              </m:r>
              <m:r>
                <m:t>a</m:t>
              </m:r>
              <m:r>
                <m:t>l</m:t>
              </m:r>
              <m:r>
                <m:t>b</m:t>
              </m:r>
              <m:r>
                <m:t>e</m:t>
              </m:r>
              <m:r>
                <m:t>d</m:t>
              </m:r>
              <m:r>
                <m:t>o</m:t>
              </m:r>
            </m:e>
          </m:d>
          <m:r>
            <m:t>S</m:t>
          </m:r>
          <m:d>
            <m:dPr>
              <m:begChr m:val="("/>
              <m:endChr m:val=")"/>
              <m:sepChr m:val=""/>
              <m:grow/>
            </m:dPr>
            <m:e>
              <m:r>
                <m:t>t</m:t>
              </m:r>
            </m:e>
          </m:d>
          <m:r>
            <m:rPr>
              <m:sty m:val="p"/>
            </m:rPr>
            <m:t>−</m:t>
          </m:r>
          <m:sSub>
            <m:e>
              <m:r>
                <m:t>k</m:t>
              </m:r>
            </m:e>
            <m:sub>
              <m:r>
                <m:t>n</m:t>
              </m:r>
              <m:r>
                <m:t>i</m:t>
              </m:r>
              <m:r>
                <m:t>g</m:t>
              </m:r>
              <m:r>
                <m:t>h</m:t>
              </m:r>
              <m:r>
                <m:t>t</m:t>
              </m:r>
            </m:sub>
          </m:sSub>
          <m:r>
            <m:t>I</m:t>
          </m:r>
          <m:d>
            <m:dPr>
              <m:begChr m:val="("/>
              <m:endChr m:val=")"/>
              <m:sepChr m:val=""/>
              <m:grow/>
            </m:dPr>
            <m:e>
              <m:sSub>
                <m:e>
                  <m:r>
                    <m:t>α</m:t>
                  </m:r>
                </m:e>
                <m:sub>
                  <m:r>
                    <m:t>s</m:t>
                  </m:r>
                  <m:r>
                    <m:t>o</m:t>
                  </m:r>
                  <m:r>
                    <m:t>l</m:t>
                  </m:r>
                  <m:r>
                    <m:t>a</m:t>
                  </m:r>
                  <m:r>
                    <m:t>r</m:t>
                  </m:r>
                </m:sub>
              </m:sSub>
              <m:r>
                <m:rPr>
                  <m:sty m:val="p"/>
                </m:rPr>
                <m:t>&lt;</m:t>
              </m:r>
              <m:r>
                <m:t>0</m:t>
              </m:r>
            </m:e>
          </m:d>
          <m:d>
            <m:dPr>
              <m:begChr m:val="("/>
              <m:endChr m:val=")"/>
              <m:sepChr m:val=""/>
              <m:grow/>
            </m:dPr>
            <m:e>
              <m:r>
                <m:t>1</m:t>
              </m:r>
              <m:r>
                <m:rPr>
                  <m:sty m:val="p"/>
                </m:rPr>
                <m:t>−</m:t>
              </m:r>
              <m:r>
                <m:t>c</m:t>
              </m:r>
              <m:r>
                <m:t>l</m:t>
              </m:r>
              <m:r>
                <m:t>o</m:t>
              </m:r>
              <m:r>
                <m:t>u</m:t>
              </m:r>
              <m:r>
                <m:t>d</m:t>
              </m:r>
              <m:r>
                <m:rPr>
                  <m:sty m:val="p"/>
                </m:rPr>
                <m:t>_</m:t>
              </m:r>
              <m:r>
                <m:t>f</m:t>
              </m:r>
              <m:r>
                <m:t>r</m:t>
              </m:r>
              <m:r>
                <m:t>a</m:t>
              </m:r>
              <m:r>
                <m:t>c</m:t>
              </m:r>
              <m:r>
                <m:t>t</m:t>
              </m:r>
              <m:r>
                <m:t>i</m:t>
              </m:r>
              <m:r>
                <m:t>o</m:t>
              </m:r>
              <m:r>
                <m:t>n</m:t>
              </m:r>
            </m:e>
          </m:d>
          <m:r>
            <m:rPr>
              <m:sty m:val="p"/>
            </m:rPr>
            <m:t>.</m:t>
          </m:r>
        </m:oMath>
      </m:oMathPara>
    </w:p>
    <w:p>
      <w:pPr>
        <w:pStyle w:val="FirstParagraph"/>
      </w:pPr>
      <w:r>
        <w:t xml:space="preserve">Defaults are</w:t>
      </w:r>
      <w:r>
        <w:t xml:space="preserve"> </w:t>
      </w:r>
      <w:r>
        <w:rPr>
          <w:rStyle w:val="VerbatimChar"/>
        </w:rPr>
        <w:t xml:space="preserve">k_solar_K = 25</w:t>
      </w:r>
      <w:r>
        <w:t xml:space="preserve"> </w:t>
      </w:r>
      <w:r>
        <w:t xml:space="preserve">and</w:t>
      </w:r>
      <w:r>
        <w:t xml:space="preserve"> </w:t>
      </w:r>
      <w:r>
        <w:rPr>
          <w:rStyle w:val="VerbatimChar"/>
        </w:rPr>
        <w:t xml:space="preserve">k_night_K = 3</w:t>
      </w:r>
      <w:r>
        <w:t xml:space="preserve">. The approximation and its limitations MUST be stated in output metadata.</w:t>
      </w:r>
    </w:p>
    <w:bookmarkEnd w:id="53"/>
    <w:bookmarkStart w:id="54" w:name="crowd-state-process"/>
    <w:p>
      <w:pPr>
        <w:pStyle w:val="Heading2"/>
      </w:pPr>
      <w:r>
        <w:t xml:space="preserve">6.8 Crowd-state process</w:t>
      </w:r>
    </w:p>
    <w:p>
      <w:pPr>
        <w:pStyle w:val="FirstParagraph"/>
      </w:pPr>
      <w:r>
        <w:t xml:space="preserve">Crowd state is a discrete-time Markov chain over</w:t>
      </w:r>
      <w:r>
        <w:t xml:space="preserve"> </w:t>
      </w:r>
      <w:r>
        <w:rPr>
          <w:rStyle w:val="VerbatimChar"/>
        </w:rPr>
        <w:t xml:space="preserve">quiet</w:t>
      </w:r>
      <w:r>
        <w:t xml:space="preserve">,</w:t>
      </w:r>
      <w:r>
        <w:t xml:space="preserve"> </w:t>
      </w:r>
      <w:r>
        <w:rPr>
          <w:rStyle w:val="VerbatimChar"/>
        </w:rPr>
        <w:t xml:space="preserve">normal</w:t>
      </w:r>
      <w:r>
        <w:t xml:space="preserve">,</w:t>
      </w:r>
      <w:r>
        <w:t xml:space="preserve"> </w:t>
      </w:r>
      <w:r>
        <w:rPr>
          <w:rStyle w:val="VerbatimChar"/>
        </w:rPr>
        <w:t xml:space="preserve">busy</w:t>
      </w:r>
      <w:r>
        <w:t xml:space="preserve">, and</w:t>
      </w:r>
      <w:r>
        <w:t xml:space="preserve"> </w:t>
      </w:r>
      <w:r>
        <w:rPr>
          <w:rStyle w:val="VerbatimChar"/>
        </w:rPr>
        <w:t xml:space="preserve">event</w:t>
      </w:r>
      <w:r>
        <w:t xml:space="preserve">. Transition matrices MAY vary by hour, day type, or scheduled event. All matrices MUST be row-stochastic within a tolerance of</w:t>
      </w:r>
      <w:r>
        <w:t xml:space="preserve"> </w:t>
      </w:r>
      <m:oMath>
        <m:sSup>
          <m:e>
            <m:r>
              <m:t>10</m:t>
            </m:r>
          </m:e>
          <m:sup>
            <m:r>
              <m:rPr>
                <m:sty m:val="p"/>
              </m:rPr>
              <m:t>−</m:t>
            </m:r>
            <m:r>
              <m:t>12</m:t>
            </m:r>
          </m:sup>
        </m:sSup>
      </m:oMath>
      <w:r>
        <w:t xml:space="preserve">.</w:t>
      </w:r>
    </w:p>
    <w:p>
      <w:pPr>
        <w:pStyle w:val="BodyText"/>
      </w:pPr>
      <w:r>
        <w:t xml:space="preserve">The full state path is generated before arrivals. Scheduled events MAY force the state or modify transition probabilities; the mechanism MUST be identified as</w:t>
      </w:r>
      <w:r>
        <w:t xml:space="preserve"> </w:t>
      </w:r>
      <w:r>
        <w:rPr>
          <w:rStyle w:val="VerbatimChar"/>
        </w:rPr>
        <w:t xml:space="preserve">forced</w:t>
      </w:r>
      <w:r>
        <w:t xml:space="preserve"> </w:t>
      </w:r>
      <w:r>
        <w:t xml:space="preserve">or</w:t>
      </w:r>
      <w:r>
        <w:t xml:space="preserve"> </w:t>
      </w:r>
      <w:r>
        <w:rPr>
          <w:rStyle w:val="VerbatimChar"/>
        </w:rPr>
        <w:t xml:space="preserve">stochastic</w:t>
      </w:r>
      <w:r>
        <w:t xml:space="preserve"> </w:t>
      </w:r>
      <w:r>
        <w:t xml:space="preserve">per interval.</w:t>
      </w:r>
    </w:p>
    <w:bookmarkEnd w:id="54"/>
    <w:bookmarkStart w:id="56" w:name="offered-arrival-intensity"/>
    <w:p>
      <w:pPr>
        <w:pStyle w:val="Heading2"/>
      </w:pPr>
      <w:r>
        <w:t xml:space="preserve">6.9 Offered-arrival intensity</w:t>
      </w:r>
    </w:p>
    <w:p>
      <w:pPr>
        <w:pStyle w:val="FirstParagraph"/>
      </w:pPr>
      <w:r>
        <w:t xml:space="preserve">The conditional intensity is piecewise constant on each simulation interval:</w:t>
      </w:r>
    </w:p>
    <w:p>
      <w:pPr>
        <w:pStyle w:val="BodyText"/>
      </w:pPr>
      <m:oMathPara>
        <m:oMathParaPr>
          <m:jc m:val="center"/>
        </m:oMathParaPr>
        <m:oMath>
          <m:sSub>
            <m:e>
              <m:r>
                <m:t>λ</m:t>
              </m:r>
            </m:e>
            <m:sub>
              <m:r>
                <m:t>j</m:t>
              </m:r>
            </m:sub>
          </m:sSub>
          <m:r>
            <m:rPr>
              <m:sty m:val="p"/>
            </m:rPr>
            <m:t>=</m:t>
          </m:r>
          <m:sSub>
            <m:e>
              <m:r>
                <m:t>λ</m:t>
              </m:r>
            </m:e>
            <m:sub>
              <m:r>
                <m:t>0</m:t>
              </m:r>
            </m:sub>
          </m:sSub>
          <m:r>
            <m:t> </m:t>
          </m:r>
          <m:sSub>
            <m:e>
              <m:r>
                <m:t>d</m:t>
              </m:r>
            </m:e>
            <m:sub>
              <m:r>
                <m:t>j</m:t>
              </m:r>
            </m:sub>
          </m:sSub>
          <m:r>
            <m:t> </m:t>
          </m:r>
          <m:sSub>
            <m:e>
              <m:r>
                <m:t>s</m:t>
              </m:r>
            </m:e>
            <m:sub>
              <m:r>
                <m:t>d</m:t>
              </m:r>
              <m:r>
                <m:t>a</m:t>
              </m:r>
              <m:r>
                <m:t>y</m:t>
              </m:r>
              <m:r>
                <m:rPr>
                  <m:sty m:val="p"/>
                </m:rPr>
                <m:t>,</m:t>
              </m:r>
              <m:r>
                <m:t>j</m:t>
              </m:r>
            </m:sub>
          </m:sSub>
          <m:r>
            <m:t> </m:t>
          </m:r>
          <m:sSub>
            <m:e>
              <m:r>
                <m:t>m</m:t>
              </m:r>
            </m:e>
            <m:sub>
              <m:r>
                <m:t>s</m:t>
              </m:r>
              <m:r>
                <m:t>t</m:t>
              </m:r>
              <m:r>
                <m:t>a</m:t>
              </m:r>
              <m:r>
                <m:t>t</m:t>
              </m:r>
              <m:r>
                <m:t>e</m:t>
              </m:r>
              <m:r>
                <m:rPr>
                  <m:sty m:val="p"/>
                </m:rPr>
                <m:t>,</m:t>
              </m:r>
              <m:r>
                <m:t>j</m:t>
              </m:r>
            </m:sub>
          </m:sSub>
          <m:r>
            <m:t> </m:t>
          </m:r>
          <m:sSub>
            <m:e>
              <m:r>
                <m:t>W</m:t>
              </m:r>
            </m:e>
            <m:sub>
              <m:r>
                <m:t>j</m:t>
              </m:r>
            </m:sub>
          </m:sSub>
          <m:r>
            <m:rPr>
              <m:sty m:val="p"/>
            </m:rPr>
            <m:t>.</m:t>
          </m:r>
        </m:oMath>
      </m:oMathPara>
    </w:p>
    <w:p>
      <w:pPr>
        <w:pStyle w:val="FirstParagraph"/>
      </w:pPr>
      <w:r>
        <w:t xml:space="preserve">The weather factor is</w:t>
      </w:r>
    </w:p>
    <w:p>
      <w:pPr>
        <w:pStyle w:val="BodyText"/>
      </w:pPr>
      <m:oMathPara>
        <m:oMathParaPr>
          <m:jc m:val="center"/>
        </m:oMathParaPr>
        <m:oMath>
          <m:sSub>
            <m:e>
              <m:r>
                <m:t>W</m:t>
              </m:r>
            </m:e>
            <m:sub>
              <m:r>
                <m:t>j</m:t>
              </m:r>
            </m:sub>
          </m:sSub>
          <m:r>
            <m:rPr>
              <m:sty m:val="p"/>
            </m:rPr>
            <m:t>=</m:t>
          </m:r>
          <m:sSub>
            <m:e>
              <m:r>
                <m:t>W</m:t>
              </m:r>
            </m:e>
            <m:sub>
              <m:r>
                <m:t>t</m:t>
              </m:r>
              <m:r>
                <m:t>h</m:t>
              </m:r>
              <m:r>
                <m:t>e</m:t>
              </m:r>
              <m:r>
                <m:t>r</m:t>
              </m:r>
              <m:r>
                <m:t>m</m:t>
              </m:r>
              <m:r>
                <m:t>a</m:t>
              </m:r>
              <m:r>
                <m:t>l</m:t>
              </m:r>
              <m:r>
                <m:rPr>
                  <m:sty m:val="p"/>
                </m:rPr>
                <m:t>,</m:t>
              </m:r>
              <m:r>
                <m:t>j</m:t>
              </m:r>
            </m:sub>
          </m:sSub>
          <m:sSub>
            <m:e>
              <m:r>
                <m:t>W</m:t>
              </m:r>
            </m:e>
            <m:sub>
              <m:r>
                <m:t>r</m:t>
              </m:r>
              <m:r>
                <m:t>a</m:t>
              </m:r>
              <m:r>
                <m:t>i</m:t>
              </m:r>
              <m:r>
                <m:t>n</m:t>
              </m:r>
              <m:r>
                <m:rPr>
                  <m:sty m:val="p"/>
                </m:rPr>
                <m:t>,</m:t>
              </m:r>
              <m:r>
                <m:t>j</m:t>
              </m:r>
            </m:sub>
          </m:sSub>
          <m:sSub>
            <m:e>
              <m:r>
                <m:t>W</m:t>
              </m:r>
            </m:e>
            <m:sub>
              <m:r>
                <m:t>w</m:t>
              </m:r>
              <m:r>
                <m:t>i</m:t>
              </m:r>
              <m:r>
                <m:t>n</m:t>
              </m:r>
              <m:r>
                <m:t>d</m:t>
              </m:r>
              <m:r>
                <m:rPr>
                  <m:sty m:val="p"/>
                </m:rPr>
                <m:t>,</m:t>
              </m:r>
              <m:r>
                <m:t>j</m:t>
              </m:r>
            </m:sub>
          </m:sSub>
          <m:r>
            <m:rPr>
              <m:sty m:val="p"/>
            </m:rPr>
            <m:t>,</m:t>
          </m:r>
        </m:oMath>
      </m:oMathPara>
    </w:p>
    <w:p>
      <w:pPr>
        <w:pStyle w:val="FirstParagraph"/>
      </w:pPr>
      <m:oMathPara>
        <m:oMathParaPr>
          <m:jc m:val="center"/>
        </m:oMathParaPr>
        <m:oMath>
          <m:sSub>
            <m:e>
              <m:r>
                <m:t>W</m:t>
              </m:r>
            </m:e>
            <m:sub>
              <m:r>
                <m:t>t</m:t>
              </m:r>
              <m:r>
                <m:t>h</m:t>
              </m:r>
              <m:r>
                <m:t>e</m:t>
              </m:r>
              <m:r>
                <m:t>r</m:t>
              </m:r>
              <m:r>
                <m:t>m</m:t>
              </m:r>
              <m:r>
                <m:t>a</m:t>
              </m:r>
              <m:r>
                <m:t>l</m:t>
              </m:r>
            </m:sub>
          </m:sSub>
          <m:r>
            <m:rPr>
              <m:sty m:val="p"/>
            </m:rPr>
            <m:t>=</m:t>
          </m:r>
          <m:r>
            <m:rPr>
              <m:sty m:val="p"/>
            </m:rPr>
            <m:t>exp</m:t>
          </m:r>
          <m:d>
            <m:dPr>
              <m:begChr m:val="["/>
              <m:endChr m:val="]"/>
              <m:sepChr m:val=""/>
              <m:grow/>
            </m:dPr>
            <m:e>
              <m:r>
                <m:rPr>
                  <m:sty m:val="p"/>
                </m:rPr>
                <m:t>−</m:t>
              </m:r>
              <m:sSup>
                <m:e>
                  <m:d>
                    <m:dPr>
                      <m:begChr m:val="("/>
                      <m:endChr m:val=")"/>
                      <m:sepChr m:val=""/>
                      <m:grow/>
                    </m:dPr>
                    <m:e>
                      <m:f>
                        <m:fPr>
                          <m:type m:val="bar"/>
                        </m:fPr>
                        <m:num>
                          <m:r>
                            <m:t>U</m:t>
                          </m:r>
                          <m:r>
                            <m:t>T</m:t>
                          </m:r>
                          <m:r>
                            <m:t>C</m:t>
                          </m:r>
                          <m:r>
                            <m:t>I</m:t>
                          </m:r>
                          <m:r>
                            <m:rPr>
                              <m:sty m:val="p"/>
                            </m:rPr>
                            <m:t>−</m:t>
                          </m:r>
                          <m:r>
                            <m:t>U</m:t>
                          </m:r>
                          <m:r>
                            <m:t>T</m:t>
                          </m:r>
                          <m:r>
                            <m:t>C</m:t>
                          </m:r>
                          <m:sSub>
                            <m:e>
                              <m:r>
                                <m:t>I</m:t>
                              </m:r>
                            </m:e>
                            <m:sub>
                              <m:r>
                                <m:t>n</m:t>
                              </m:r>
                              <m:r>
                                <m:t>e</m:t>
                              </m:r>
                              <m:r>
                                <m:t>u</m:t>
                              </m:r>
                              <m:r>
                                <m:t>t</m:t>
                              </m:r>
                              <m:r>
                                <m:t>r</m:t>
                              </m:r>
                              <m:r>
                                <m:t>a</m:t>
                              </m:r>
                              <m:r>
                                <m:t>l</m:t>
                              </m:r>
                            </m:sub>
                          </m:sSub>
                        </m:num>
                        <m:den>
                          <m:sSub>
                            <m:e>
                              <m:r>
                                <m:t>σ</m:t>
                              </m:r>
                            </m:e>
                            <m:sub>
                              <m:r>
                                <m:t>c</m:t>
                              </m:r>
                            </m:sub>
                          </m:sSub>
                        </m:den>
                      </m:f>
                    </m:e>
                  </m:d>
                </m:e>
                <m:sup>
                  <m:r>
                    <m:t>2</m:t>
                  </m:r>
                </m:sup>
              </m:sSup>
            </m:e>
          </m:d>
          <m:r>
            <m:rPr>
              <m:sty m:val="p"/>
            </m:rPr>
            <m:t>,</m:t>
          </m:r>
        </m:oMath>
      </m:oMathPara>
    </w:p>
    <w:p>
      <w:pPr>
        <w:pStyle w:val="FirstParagraph"/>
      </w:pPr>
      <m:oMathPara>
        <m:oMathParaPr>
          <m:jc m:val="center"/>
        </m:oMathParaPr>
        <m:oMath>
          <m:sSub>
            <m:e>
              <m:r>
                <m:t>W</m:t>
              </m:r>
            </m:e>
            <m:sub>
              <m:r>
                <m:t>r</m:t>
              </m:r>
              <m:r>
                <m:t>a</m:t>
              </m:r>
              <m:r>
                <m:t>i</m:t>
              </m:r>
              <m:r>
                <m:t>n</m:t>
              </m:r>
            </m:sub>
          </m:sSub>
          <m:r>
            <m:rPr>
              <m:sty m:val="p"/>
            </m:rPr>
            <m:t>=</m:t>
          </m:r>
          <m:r>
            <m:rPr>
              <m:sty m:val="p"/>
            </m:rPr>
            <m:t>exp</m:t>
          </m:r>
          <m:d>
            <m:dPr>
              <m:begChr m:val="("/>
              <m:endChr m:val=")"/>
              <m:sepChr m:val=""/>
              <m:grow/>
            </m:dPr>
            <m:e>
              <m:r>
                <m:rPr>
                  <m:sty m:val="p"/>
                </m:rPr>
                <m:t>−</m:t>
              </m:r>
              <m:r>
                <m:t>β</m:t>
              </m:r>
              <m:r>
                <m:t>p</m:t>
              </m:r>
            </m:e>
          </m:d>
          <m:r>
            <m:rPr>
              <m:sty m:val="p"/>
            </m:rPr>
            <m:t>,</m:t>
          </m:r>
          <m:r>
            <m:t>  </m:t>
          </m:r>
          <m:sSub>
            <m:e>
              <m:r>
                <m:t>W</m:t>
              </m:r>
            </m:e>
            <m:sub>
              <m:r>
                <m:t>w</m:t>
              </m:r>
              <m:r>
                <m:t>i</m:t>
              </m:r>
              <m:r>
                <m:t>n</m:t>
              </m:r>
              <m:r>
                <m:t>d</m:t>
              </m:r>
            </m:sub>
          </m:sSub>
          <m:r>
            <m:rPr>
              <m:sty m:val="p"/>
            </m:rPr>
            <m:t>=</m:t>
          </m:r>
          <m:r>
            <m:rPr>
              <m:sty m:val="p"/>
            </m:rPr>
            <m:t>exp</m:t>
          </m:r>
          <m:d>
            <m:dPr>
              <m:begChr m:val="["/>
              <m:endChr m:val="]"/>
              <m:sepChr m:val=""/>
              <m:grow/>
            </m:dPr>
            <m:e>
              <m:r>
                <m:rPr>
                  <m:sty m:val="p"/>
                </m:rPr>
                <m:t>−</m:t>
              </m:r>
              <m:r>
                <m:t>γ</m:t>
              </m:r>
              <m:r>
                <m:rPr>
                  <m:sty m:val="p"/>
                </m:rPr>
                <m:t>max</m:t>
              </m:r>
              <m:d>
                <m:dPr>
                  <m:begChr m:val="("/>
                  <m:endChr m:val=")"/>
                  <m:sepChr m:val=""/>
                  <m:grow/>
                </m:dPr>
                <m:e>
                  <m:r>
                    <m:t>0</m:t>
                  </m:r>
                  <m:r>
                    <m:rPr>
                      <m:sty m:val="p"/>
                    </m:rPr>
                    <m:t>,</m:t>
                  </m:r>
                  <m:sSub>
                    <m:e>
                      <m:r>
                        <m:t>v</m:t>
                      </m:r>
                    </m:e>
                    <m:sub>
                      <m:r>
                        <m:t>p</m:t>
                      </m:r>
                      <m:r>
                        <m:t>e</m:t>
                      </m:r>
                      <m:r>
                        <m:t>d</m:t>
                      </m:r>
                    </m:sub>
                  </m:sSub>
                  <m:r>
                    <m:rPr>
                      <m:sty m:val="p"/>
                    </m:rPr>
                    <m:t>−</m:t>
                  </m:r>
                  <m:sSub>
                    <m:e>
                      <m:r>
                        <m:t>v</m:t>
                      </m:r>
                    </m:e>
                    <m:sub>
                      <m:r>
                        <m:t>0</m:t>
                      </m:r>
                    </m:sub>
                  </m:sSub>
                </m:e>
              </m:d>
            </m:e>
          </m:d>
          <m:r>
            <m:rPr>
              <m:sty m:val="p"/>
            </m:rPr>
            <m:t>.</m:t>
          </m:r>
        </m:oMath>
      </m:oMathPara>
    </w:p>
    <w:p>
      <w:pPr>
        <w:pStyle w:val="FirstParagraph"/>
      </w:pPr>
      <w:r>
        <w:t xml:space="preserve">All factors MUST lie in the half-open interval (0, 1], zero excluded and one included. UTCI is available at this stage because thermal indices are computed at pipeline stage 7, before intensity construction (Section 3.2); the deterrence term consumes exactly those stored per-interval values, and the risk layer later reuses them unchanged. If a scenario disables UTCI, it MUST declare an alternative thermal predictor for</w:t>
      </w:r>
      <w:r>
        <w:t xml:space="preserve"> </w:t>
      </w:r>
      <m:oMath>
        <m:sSub>
          <m:e>
            <m:r>
              <m:t>W</m:t>
            </m:r>
          </m:e>
          <m:sub>
            <m:r>
              <m:t>t</m:t>
            </m:r>
            <m:r>
              <m:t>h</m:t>
            </m:r>
            <m:r>
              <m:t>e</m:t>
            </m:r>
            <m:r>
              <m:t>r</m:t>
            </m:r>
            <m:r>
              <m:t>m</m:t>
            </m:r>
            <m:r>
              <m:t>a</m:t>
            </m:r>
            <m:r>
              <m:t>l</m:t>
            </m:r>
          </m:sub>
        </m:sSub>
      </m:oMath>
      <w:r>
        <w:t xml:space="preserve">; no hidden fallback is allowed.</w:t>
      </w:r>
    </w:p>
    <w:bookmarkStart w:id="55" w:name="exact-event-generation"/>
    <w:p>
      <w:pPr>
        <w:pStyle w:val="Heading3"/>
      </w:pPr>
      <w:r>
        <w:t xml:space="preserve">Exact event generation</w:t>
      </w:r>
    </w:p>
    <w:p>
      <w:pPr>
        <w:pStyle w:val="FirstParagraph"/>
      </w:pPr>
      <w:r>
        <w:t xml:space="preserve">Because</w:t>
      </w:r>
      <w:r>
        <w:t xml:space="preserve"> </w:t>
      </w:r>
      <m:oMath>
        <m:sSub>
          <m:e>
            <m:r>
              <m:t>λ</m:t>
            </m:r>
          </m:e>
          <m:sub>
            <m:r>
              <m:t>j</m:t>
            </m:r>
          </m:sub>
        </m:sSub>
      </m:oMath>
      <w:r>
        <w:t xml:space="preserve"> </w:t>
      </w:r>
      <w:r>
        <w:t xml:space="preserve">is constant within interval</w:t>
      </w:r>
      <w:r>
        <w:t xml:space="preserve"> </w:t>
      </w:r>
      <m:oMath>
        <m:r>
          <m:t>j</m:t>
        </m:r>
      </m:oMath>
      <w:r>
        <w:t xml:space="preserve">, the reference method is:</w:t>
      </w:r>
    </w:p>
    <w:p>
      <w:pPr>
        <w:numPr>
          <w:ilvl w:val="0"/>
          <w:numId w:val="1011"/>
        </w:numPr>
        <w:pStyle w:val="Compact"/>
      </w:pPr>
      <m:oMath>
        <m:sSub>
          <m:e>
            <m:r>
              <m:t>K</m:t>
            </m:r>
          </m:e>
          <m:sub>
            <m:r>
              <m:t>j</m:t>
            </m:r>
          </m:sub>
        </m:sSub>
        <m:r>
          <m:rPr>
            <m:sty m:val="p"/>
          </m:rPr>
          <m:t>∼</m:t>
        </m:r>
        <m:r>
          <m:t>P</m:t>
        </m:r>
        <m:r>
          <m:t>o</m:t>
        </m:r>
        <m:r>
          <m:t>i</m:t>
        </m:r>
        <m:r>
          <m:t>s</m:t>
        </m:r>
        <m:r>
          <m:t>s</m:t>
        </m:r>
        <m:r>
          <m:t>o</m:t>
        </m:r>
        <m:r>
          <m:t>n</m:t>
        </m:r>
        <m:d>
          <m:dPr>
            <m:begChr m:val="("/>
            <m:endChr m:val=")"/>
            <m:sepChr m:val=""/>
            <m:grow/>
          </m:dPr>
          <m:e>
            <m:sSub>
              <m:e>
                <m:r>
                  <m:t>λ</m:t>
                </m:r>
              </m:e>
              <m:sub>
                <m:r>
                  <m:t>j</m:t>
                </m:r>
              </m:sub>
            </m:sSub>
            <m:r>
              <m:t>Δ</m:t>
            </m:r>
            <m:sSub>
              <m:e>
                <m:r>
                  <m:t>t</m:t>
                </m:r>
              </m:e>
              <m:sub>
                <m:r>
                  <m:t>h</m:t>
                </m:r>
                <m:r>
                  <m:t>o</m:t>
                </m:r>
                <m:r>
                  <m:t>u</m:t>
                </m:r>
                <m:r>
                  <m:t>r</m:t>
                </m:r>
                <m:r>
                  <m:t>s</m:t>
                </m:r>
              </m:sub>
            </m:sSub>
          </m:e>
        </m:d>
      </m:oMath>
      <w:r>
        <w:t xml:space="preserve"> </w:t>
      </w:r>
      <w:r>
        <w:t xml:space="preserve">on stream</w:t>
      </w:r>
      <w:r>
        <w:t xml:space="preserve"> </w:t>
      </w:r>
      <w:r>
        <w:rPr>
          <w:rStyle w:val="VerbatimChar"/>
        </w:rPr>
        <w:t xml:space="preserve">crowd.arrivals</w:t>
      </w:r>
      <w:r>
        <w:t xml:space="preserve">.</w:t>
      </w:r>
    </w:p>
    <w:p>
      <w:pPr>
        <w:numPr>
          <w:ilvl w:val="0"/>
          <w:numId w:val="1011"/>
        </w:numPr>
        <w:pStyle w:val="Compact"/>
      </w:pPr>
      <w:r>
        <w:t xml:space="preserve">Generate</w:t>
      </w:r>
      <w:r>
        <w:t xml:space="preserve"> </w:t>
      </w:r>
      <m:oMath>
        <m:sSub>
          <m:e>
            <m:r>
              <m:t>K</m:t>
            </m:r>
          </m:e>
          <m:sub>
            <m:r>
              <m:t>j</m:t>
            </m:r>
          </m:sub>
        </m:sSub>
      </m:oMath>
      <w:r>
        <w:t xml:space="preserve"> </w:t>
      </w:r>
      <w:r>
        <w:t xml:space="preserve">independent offsets, each U_half times</w:t>
      </w:r>
      <w:r>
        <w:t xml:space="preserve"> </w:t>
      </w:r>
      <m:oMath>
        <m:r>
          <m:t>Δ</m:t>
        </m:r>
        <m:r>
          <m:t>t</m:t>
        </m:r>
      </m:oMath>
      <w:r>
        <w:t xml:space="preserve"> </w:t>
      </w:r>
      <w:r>
        <w:t xml:space="preserve">(zero is allowed: an event exactly at the interval start belongs to that interval by Section 3.3).</w:t>
      </w:r>
    </w:p>
    <w:p>
      <w:pPr>
        <w:numPr>
          <w:ilvl w:val="0"/>
          <w:numId w:val="1011"/>
        </w:numPr>
        <w:pStyle w:val="Compact"/>
      </w:pPr>
      <w:r>
        <w:t xml:space="preserve">Sort offsets ascending with a stable sort; equal offsets keep generation order, and each event receives a monotonically increasing</w:t>
      </w:r>
      <w:r>
        <w:t xml:space="preserve"> </w:t>
      </w:r>
      <w:r>
        <w:rPr>
          <w:rStyle w:val="VerbatimChar"/>
        </w:rPr>
        <w:t xml:space="preserve">event_sequence_id</w:t>
      </w:r>
      <w:r>
        <w:t xml:space="preserve">.</w:t>
      </w:r>
    </w:p>
    <w:p>
      <w:pPr>
        <w:numPr>
          <w:ilvl w:val="0"/>
          <w:numId w:val="1011"/>
        </w:numPr>
        <w:pStyle w:val="Compact"/>
      </w:pPr>
      <w:r>
        <w:t xml:space="preserve">Add them to</w:t>
      </w:r>
      <w:r>
        <w:t xml:space="preserve"> </w:t>
      </w:r>
      <m:oMath>
        <m:sSub>
          <m:e>
            <m:r>
              <m:t>t</m:t>
            </m:r>
          </m:e>
          <m:sub>
            <m:r>
              <m:t>j</m:t>
            </m:r>
          </m:sub>
        </m:sSub>
      </m:oMath>
      <w:r>
        <w:t xml:space="preserve">.</w:t>
      </w:r>
    </w:p>
    <w:p>
      <w:pPr>
        <w:pStyle w:val="FirstParagraph"/>
      </w:pPr>
      <w:r>
        <w:t xml:space="preserve">This is exact for the specified piecewise-constant conditional NHPP and is preferred to global thinning.</w:t>
      </w:r>
    </w:p>
    <w:bookmarkEnd w:id="55"/>
    <w:bookmarkEnd w:id="56"/>
    <w:bookmarkStart w:id="57" w:name="capacity-and-admission"/>
    <w:p>
      <w:pPr>
        <w:pStyle w:val="Heading2"/>
      </w:pPr>
      <w:r>
        <w:t xml:space="preserve">6.10 Capacity and admission</w:t>
      </w:r>
    </w:p>
    <w:p>
      <w:pPr>
        <w:pStyle w:val="FirstParagraph"/>
      </w:pPr>
      <w:r>
        <w:t xml:space="preserve">The scenario declares</w:t>
      </w:r>
      <w:r>
        <w:t xml:space="preserve"> </w:t>
      </w:r>
      <w:r>
        <w:rPr>
          <w:rStyle w:val="VerbatimChar"/>
        </w:rPr>
        <w:t xml:space="preserve">space_capacity_persons = K</w:t>
      </w:r>
      <w:r>
        <w:t xml:space="preserve"> </w:t>
      </w:r>
      <w:r>
        <w:t xml:space="preserve">and one of:</w:t>
      </w:r>
    </w:p>
    <w:p>
      <w:pPr>
        <w:numPr>
          <w:ilvl w:val="0"/>
          <w:numId w:val="1012"/>
        </w:numPr>
        <w:pStyle w:val="Compact"/>
      </w:pPr>
      <w:r>
        <w:rPr>
          <w:rStyle w:val="VerbatimChar"/>
        </w:rPr>
        <w:t xml:space="preserve">report_only</w:t>
      </w:r>
      <w:r>
        <w:t xml:space="preserve">: all offered arrivals are admitted; capacity is a reporting threshold.</w:t>
      </w:r>
    </w:p>
    <w:p>
      <w:pPr>
        <w:numPr>
          <w:ilvl w:val="0"/>
          <w:numId w:val="1012"/>
        </w:numPr>
        <w:pStyle w:val="Compact"/>
      </w:pPr>
      <w:r>
        <w:rPr>
          <w:rStyle w:val="VerbatimChar"/>
        </w:rPr>
        <w:t xml:space="preserve">reject</w:t>
      </w:r>
      <w:r>
        <w:t xml:space="preserve">: an offered arrival is rejected if active admitted occupancy is already</w:t>
      </w:r>
      <w:r>
        <w:t xml:space="preserve"> </w:t>
      </w:r>
      <m:oMath>
        <m:r>
          <m:t>K</m:t>
        </m:r>
      </m:oMath>
      <w:r>
        <w:t xml:space="preserve">.</w:t>
      </w:r>
    </w:p>
    <w:p>
      <w:pPr>
        <w:numPr>
          <w:ilvl w:val="0"/>
          <w:numId w:val="1012"/>
        </w:numPr>
        <w:pStyle w:val="Compact"/>
      </w:pPr>
      <w:r>
        <w:rPr>
          <w:rStyle w:val="VerbatimChar"/>
        </w:rPr>
        <w:t xml:space="preserve">defer_fifo</w:t>
      </w:r>
      <w:r>
        <w:t xml:space="preserve">: a blocked arrival enters a FIFO queue until a place opens or</w:t>
      </w:r>
      <w:r>
        <w:t xml:space="preserve"> </w:t>
      </w:r>
      <w:r>
        <w:rPr>
          <w:rStyle w:val="VerbatimChar"/>
        </w:rPr>
        <w:t xml:space="preserve">maximum_defer_minutes</w:t>
      </w:r>
      <w:r>
        <w:t xml:space="preserve"> </w:t>
      </w:r>
      <w:r>
        <w:t xml:space="preserve">is exceeded.</w:t>
      </w:r>
    </w:p>
    <w:p>
      <w:pPr>
        <w:pStyle w:val="FirstParagraph"/>
      </w:pPr>
      <w:r>
        <w:t xml:space="preserve">Events at an identical timestamp are processed in this order: departures, deferred admissions, new offered arrivals; within the same class, events are processed in ascending</w:t>
      </w:r>
      <w:r>
        <w:t xml:space="preserve"> </w:t>
      </w:r>
      <w:r>
        <w:rPr>
          <w:rStyle w:val="VerbatimChar"/>
        </w:rPr>
        <w:t xml:space="preserve">event_sequence_id</w:t>
      </w:r>
      <w:r>
        <w:t xml:space="preserve"> </w:t>
      </w:r>
      <w:r>
        <w:t xml:space="preserve">(stable, deterministic). Exact ties generated by continuous uniforms are rare, but the rule is mandatory.</w:t>
      </w:r>
    </w:p>
    <w:p>
      <w:pPr>
        <w:pStyle w:val="BodyText"/>
      </w:pPr>
      <w:r>
        <w:t xml:space="preserve">A deferred visitor whose waiting time reaches</w:t>
      </w:r>
      <w:r>
        <w:t xml:space="preserve"> </w:t>
      </w:r>
      <w:r>
        <w:rPr>
          <w:rStyle w:val="VerbatimChar"/>
        </w:rPr>
        <w:t xml:space="preserve">maximum_defer_minutes</w:t>
      </w:r>
      <w:r>
        <w:t xml:space="preserve"> </w:t>
      </w:r>
      <w:r>
        <w:t xml:space="preserve">leaves the queue at exactly arrival time plus that limit, is logged as</w:t>
      </w:r>
      <w:r>
        <w:t xml:space="preserve"> </w:t>
      </w:r>
      <w:r>
        <w:rPr>
          <w:rStyle w:val="VerbatimChar"/>
        </w:rPr>
        <w:t xml:space="preserve">deferred_timeout</w:t>
      </w:r>
      <w:r>
        <w:t xml:space="preserve">, and is counted in</w:t>
      </w:r>
      <w:r>
        <w:t xml:space="preserve"> </w:t>
      </w:r>
      <w:r>
        <w:rPr>
          <w:rStyle w:val="VerbatimChar"/>
        </w:rPr>
        <w:t xml:space="preserve">deferred_timeout_count</w:t>
      </w:r>
      <w:r>
        <w:t xml:space="preserve">. The cumulative conservation identity offered = admitted + rejected + deferred_timeout + current queue length is a mandatory deterministic check.</w:t>
      </w:r>
    </w:p>
    <w:p>
      <w:pPr>
        <w:pStyle w:val="BodyText"/>
      </w:pPr>
      <w:r>
        <w:t xml:space="preserve">The event log distinguishes:</w:t>
      </w:r>
    </w:p>
    <w:p>
      <w:pPr>
        <w:numPr>
          <w:ilvl w:val="0"/>
          <w:numId w:val="1013"/>
        </w:numPr>
        <w:pStyle w:val="Compact"/>
      </w:pPr>
      <w:r>
        <w:rPr>
          <w:rStyle w:val="VerbatimChar"/>
        </w:rPr>
        <w:t xml:space="preserve">offered_arrival</w:t>
      </w:r>
      <w:r>
        <w:t xml:space="preserve">;</w:t>
      </w:r>
    </w:p>
    <w:p>
      <w:pPr>
        <w:numPr>
          <w:ilvl w:val="0"/>
          <w:numId w:val="1013"/>
        </w:numPr>
        <w:pStyle w:val="Compact"/>
      </w:pPr>
      <w:r>
        <w:rPr>
          <w:rStyle w:val="VerbatimChar"/>
        </w:rPr>
        <w:t xml:space="preserve">admitted_arrival</w:t>
      </w:r>
      <w:r>
        <w:t xml:space="preserve">;</w:t>
      </w:r>
    </w:p>
    <w:p>
      <w:pPr>
        <w:numPr>
          <w:ilvl w:val="0"/>
          <w:numId w:val="1013"/>
        </w:numPr>
        <w:pStyle w:val="Compact"/>
      </w:pPr>
      <w:r>
        <w:rPr>
          <w:rStyle w:val="VerbatimChar"/>
        </w:rPr>
        <w:t xml:space="preserve">rejected_arrival</w:t>
      </w:r>
      <w:r>
        <w:t xml:space="preserve">;</w:t>
      </w:r>
    </w:p>
    <w:p>
      <w:pPr>
        <w:numPr>
          <w:ilvl w:val="0"/>
          <w:numId w:val="1013"/>
        </w:numPr>
        <w:pStyle w:val="Compact"/>
      </w:pPr>
      <w:r>
        <w:rPr>
          <w:rStyle w:val="VerbatimChar"/>
        </w:rPr>
        <w:t xml:space="preserve">deferred_arrival</w:t>
      </w:r>
      <w:r>
        <w:t xml:space="preserve">;</w:t>
      </w:r>
    </w:p>
    <w:p>
      <w:pPr>
        <w:numPr>
          <w:ilvl w:val="0"/>
          <w:numId w:val="1013"/>
        </w:numPr>
        <w:pStyle w:val="Compact"/>
      </w:pPr>
      <w:r>
        <w:rPr>
          <w:rStyle w:val="VerbatimChar"/>
        </w:rPr>
        <w:t xml:space="preserve">deferred_admission</w:t>
      </w:r>
      <w:r>
        <w:t xml:space="preserve">;</w:t>
      </w:r>
    </w:p>
    <w:p>
      <w:pPr>
        <w:numPr>
          <w:ilvl w:val="0"/>
          <w:numId w:val="1013"/>
        </w:numPr>
        <w:pStyle w:val="Compact"/>
      </w:pPr>
      <w:r>
        <w:rPr>
          <w:rStyle w:val="VerbatimChar"/>
        </w:rPr>
        <w:t xml:space="preserve">deferred_timeout</w:t>
      </w:r>
      <w:r>
        <w:t xml:space="preserve">;</w:t>
      </w:r>
    </w:p>
    <w:p>
      <w:pPr>
        <w:numPr>
          <w:ilvl w:val="0"/>
          <w:numId w:val="1013"/>
        </w:numPr>
        <w:pStyle w:val="Compact"/>
      </w:pPr>
      <w:r>
        <w:rPr>
          <w:rStyle w:val="VerbatimChar"/>
        </w:rPr>
        <w:t xml:space="preserve">departure</w:t>
      </w:r>
      <w:r>
        <w:t xml:space="preserve">.</w:t>
      </w:r>
    </w:p>
    <w:p>
      <w:pPr>
        <w:pStyle w:val="FirstParagraph"/>
      </w:pPr>
      <w:r>
        <w:t xml:space="preserve">NHPP time-rescaling validation applies to offered arrivals. It MUST NOT be applied to capacity-filtered admissions.</w:t>
      </w:r>
    </w:p>
    <w:bookmarkEnd w:id="57"/>
    <w:bookmarkStart w:id="58" w:name="X55719fdbc8176ed75e326434ca21d30341e3ba8"/>
    <w:p>
      <w:pPr>
        <w:pStyle w:val="Heading2"/>
      </w:pPr>
      <w:r>
        <w:t xml:space="preserve">6.11 Dwell times and occupancy initial conditions</w:t>
      </w:r>
    </w:p>
    <w:p>
      <w:pPr>
        <w:pStyle w:val="FirstParagraph"/>
      </w:pPr>
      <w:r>
        <w:t xml:space="preserve">Each admitted arrival receives an independent LogNormal dwell time. Let</w:t>
      </w:r>
      <w:r>
        <w:t xml:space="preserve"> </w:t>
      </w:r>
      <m:oMath>
        <m:sSub>
          <m:e>
            <m:r>
              <m:t>t</m:t>
            </m:r>
          </m:e>
          <m:sub>
            <m:r>
              <m:t>0</m:t>
            </m:r>
          </m:sub>
        </m:sSub>
      </m:oMath>
      <w:r>
        <w:t xml:space="preserve"> </w:t>
      </w:r>
      <w:r>
        <w:t xml:space="preserve">be the output horizon start. The conditional expectation is</w:t>
      </w:r>
    </w:p>
    <w:p>
      <w:pPr>
        <w:pStyle w:val="BodyText"/>
      </w:pPr>
      <m:oMathPara>
        <m:oMathParaPr>
          <m:jc m:val="center"/>
        </m:oMathParaPr>
        <m:oMath>
          <m:r>
            <m:t>E</m:t>
          </m:r>
          <m:d>
            <m:dPr>
              <m:begChr m:val="["/>
              <m:endChr m:val="]"/>
              <m:sepChr m:val=""/>
              <m:grow/>
            </m:dPr>
            <m:e>
              <m:r>
                <m:t>N</m:t>
              </m:r>
              <m:d>
                <m:dPr>
                  <m:begChr m:val="("/>
                  <m:endChr m:val=")"/>
                  <m:sepChr m:val=""/>
                  <m:grow/>
                </m:dPr>
                <m:e>
                  <m:r>
                    <m:t>t</m:t>
                  </m:r>
                </m:e>
              </m:d>
              <m:r>
                <m:rPr>
                  <m:sty m:val="p"/>
                </m:rPr>
                <m:t>∣</m:t>
              </m:r>
              <m:r>
                <m:t>λ</m:t>
              </m:r>
            </m:e>
          </m:d>
          <m:r>
            <m:rPr>
              <m:sty m:val="p"/>
            </m:rPr>
            <m:t>=</m:t>
          </m:r>
          <m:r>
            <m:t>E</m:t>
          </m:r>
          <m:d>
            <m:dPr>
              <m:begChr m:val="["/>
              <m:endChr m:val="]"/>
              <m:sepChr m:val=""/>
              <m:grow/>
            </m:dPr>
            <m:e>
              <m:sSub>
                <m:e>
                  <m:r>
                    <m:t>N</m:t>
                  </m:r>
                </m:e>
                <m:sub>
                  <m:r>
                    <m:t>0</m:t>
                  </m:r>
                  <m:r>
                    <m:rPr>
                      <m:sty m:val="p"/>
                    </m:rPr>
                    <m:t>,</m:t>
                  </m:r>
                  <m:r>
                    <m:t>s</m:t>
                  </m:r>
                  <m:r>
                    <m:t>u</m:t>
                  </m:r>
                  <m:r>
                    <m:t>r</m:t>
                  </m:r>
                  <m:r>
                    <m:t>v</m:t>
                  </m:r>
                  <m:r>
                    <m:t>i</m:t>
                  </m:r>
                  <m:r>
                    <m:t>v</m:t>
                  </m:r>
                  <m:r>
                    <m:t>o</m:t>
                  </m:r>
                  <m:r>
                    <m:t>r</m:t>
                  </m:r>
                  <m:r>
                    <m:t>s</m:t>
                  </m:r>
                </m:sub>
              </m:sSub>
              <m:d>
                <m:dPr>
                  <m:begChr m:val="("/>
                  <m:endChr m:val=")"/>
                  <m:sepChr m:val=""/>
                  <m:grow/>
                </m:dPr>
                <m:e>
                  <m:r>
                    <m:t>t</m:t>
                  </m:r>
                </m:e>
              </m:d>
            </m:e>
          </m:d>
          <m:r>
            <m:rPr>
              <m:sty m:val="p"/>
            </m:rPr>
            <m:t>+</m:t>
          </m:r>
          <m:nary>
            <m:naryPr>
              <m:chr m:val="∫"/>
              <m:limLoc m:val="subSup"/>
              <m:subHide m:val="off"/>
              <m:supHide m:val="off"/>
            </m:naryPr>
            <m:sub>
              <m:sSub>
                <m:e>
                  <m:r>
                    <m:t>t</m:t>
                  </m:r>
                </m:e>
                <m:sub>
                  <m:r>
                    <m:t>0</m:t>
                  </m:r>
                </m:sub>
              </m:sSub>
            </m:sub>
            <m:sup>
              <m:r>
                <m:t>t</m:t>
              </m:r>
            </m:sup>
            <m:e>
              <m:r>
                <m:t>λ</m:t>
              </m:r>
            </m:e>
          </m:nary>
          <m:d>
            <m:dPr>
              <m:begChr m:val="("/>
              <m:endChr m:val=")"/>
              <m:sepChr m:val=""/>
              <m:grow/>
            </m:dPr>
            <m:e>
              <m:r>
                <m:t>s</m:t>
              </m:r>
            </m:e>
          </m:d>
          <m:acc>
            <m:accPr>
              <m:chr m:val="‾"/>
            </m:accPr>
            <m:e>
              <m:r>
                <m:t>G</m:t>
              </m:r>
            </m:e>
          </m:acc>
          <m:d>
            <m:dPr>
              <m:begChr m:val="("/>
              <m:endChr m:val=")"/>
              <m:sepChr m:val=""/>
              <m:grow/>
            </m:dPr>
            <m:e>
              <m:r>
                <m:t>t</m:t>
              </m:r>
              <m:r>
                <m:rPr>
                  <m:sty m:val="p"/>
                </m:rPr>
                <m:t>−</m:t>
              </m:r>
              <m:r>
                <m:t>s</m:t>
              </m:r>
            </m:e>
          </m:d>
          <m:r>
            <m:t> </m:t>
          </m:r>
          <m:r>
            <m:t>d</m:t>
          </m:r>
          <m:r>
            <m:t>s</m:t>
          </m:r>
          <m:r>
            <m:rPr>
              <m:sty m:val="p"/>
            </m:rPr>
            <m:t>.</m:t>
          </m:r>
        </m:oMath>
      </m:oMathPara>
    </w:p>
    <w:p>
      <w:pPr>
        <w:pStyle w:val="FirstParagraph"/>
      </w:pPr>
      <w:r>
        <w:t xml:space="preserve">The scenario MUST use one initial mode:</w:t>
      </w:r>
    </w:p>
    <w:p>
      <w:pPr>
        <w:numPr>
          <w:ilvl w:val="0"/>
          <w:numId w:val="1014"/>
        </w:numPr>
        <w:pStyle w:val="Compact"/>
      </w:pPr>
      <w:r>
        <w:rPr>
          <w:rStyle w:val="VerbatimChar"/>
        </w:rPr>
        <w:t xml:space="preserve">empty</w:t>
      </w:r>
      <w:r>
        <w:t xml:space="preserve">: no active visitors at</w:t>
      </w:r>
      <w:r>
        <w:t xml:space="preserve"> </w:t>
      </w:r>
      <m:oMath>
        <m:sSub>
          <m:e>
            <m:r>
              <m:t>t</m:t>
            </m:r>
          </m:e>
          <m:sub>
            <m:r>
              <m:t>0</m:t>
            </m:r>
          </m:sub>
        </m:sSub>
      </m:oMath>
      <w:r>
        <w:t xml:space="preserve">;</w:t>
      </w:r>
    </w:p>
    <w:p>
      <w:pPr>
        <w:numPr>
          <w:ilvl w:val="0"/>
          <w:numId w:val="1014"/>
        </w:numPr>
        <w:pStyle w:val="Compact"/>
      </w:pPr>
      <w:r>
        <w:rPr>
          <w:rStyle w:val="VerbatimChar"/>
        </w:rPr>
        <w:t xml:space="preserve">explicit</w:t>
      </w:r>
      <w:r>
        <w:t xml:space="preserve">: initial visitors and residual dwell times are supplied;</w:t>
      </w:r>
    </w:p>
    <w:p>
      <w:pPr>
        <w:numPr>
          <w:ilvl w:val="0"/>
          <w:numId w:val="1014"/>
        </w:numPr>
        <w:pStyle w:val="Compact"/>
      </w:pPr>
      <w:r>
        <w:rPr>
          <w:rStyle w:val="VerbatimChar"/>
        </w:rPr>
        <w:t xml:space="preserve">sampled_stationary</w:t>
      </w:r>
      <w:r>
        <w:t xml:space="preserve">: a hidden warm-up is run and active visitors crossing</w:t>
      </w:r>
      <w:r>
        <w:t xml:space="preserve"> </w:t>
      </w:r>
      <m:oMath>
        <m:sSub>
          <m:e>
            <m:r>
              <m:t>t</m:t>
            </m:r>
          </m:e>
          <m:sub>
            <m:r>
              <m:t>0</m:t>
            </m:r>
          </m:sub>
        </m:sSub>
      </m:oMath>
      <w:r>
        <w:t xml:space="preserve"> </w:t>
      </w:r>
      <w:r>
        <w:t xml:space="preserve">are retained.</w:t>
      </w:r>
    </w:p>
    <w:p>
      <w:pPr>
        <w:pStyle w:val="FirstParagraph"/>
      </w:pPr>
      <w:r>
        <w:rPr>
          <w:rStyle w:val="VerbatimChar"/>
        </w:rPr>
        <w:t xml:space="preserve">warmup_duration_minutes</w:t>
      </w:r>
      <w:r>
        <w:t xml:space="preserve"> </w:t>
      </w:r>
      <w:r>
        <w:t xml:space="preserve">MUST be at least the longest rolling window and SHOULD also exceed a high dwell-time quantile when stationary initialization is requested.</w:t>
      </w:r>
    </w:p>
    <w:p>
      <w:pPr>
        <w:pStyle w:val="BodyText"/>
      </w:pPr>
      <w:r>
        <w:t xml:space="preserve">Occupancy is reconstructed from event intervals, not from a steady-state approximation.</w:t>
      </w:r>
    </w:p>
    <w:bookmarkEnd w:id="58"/>
    <w:bookmarkStart w:id="59" w:name="persistent-audience-assignment"/>
    <w:p>
      <w:pPr>
        <w:pStyle w:val="Heading2"/>
      </w:pPr>
      <w:r>
        <w:t xml:space="preserve">6.12 Persistent audience assignment</w:t>
      </w:r>
    </w:p>
    <w:p>
      <w:pPr>
        <w:pStyle w:val="FirstParagraph"/>
      </w:pPr>
      <w:r>
        <w:t xml:space="preserve">At admission time</w:t>
      </w:r>
      <w:r>
        <w:t xml:space="preserve"> </w:t>
      </w:r>
      <m:oMath>
        <m:sSub>
          <m:e>
            <m:r>
              <m:t>t</m:t>
            </m:r>
          </m:e>
          <m:sub>
            <m:r>
              <m:t>i</m:t>
            </m:r>
          </m:sub>
        </m:sSub>
      </m:oMath>
      <w:r>
        <w:t xml:space="preserve">, visitor</w:t>
      </w:r>
      <w:r>
        <w:t xml:space="preserve"> </w:t>
      </w:r>
      <m:oMath>
        <m:r>
          <m:t>i</m:t>
        </m:r>
      </m:oMath>
      <w:r>
        <w:t xml:space="preserve"> </w:t>
      </w:r>
      <w:r>
        <w:t xml:space="preserve">is assigned</w:t>
      </w:r>
    </w:p>
    <w:p>
      <w:pPr>
        <w:pStyle w:val="BodyText"/>
      </w:pPr>
      <m:oMathPara>
        <m:oMathParaPr>
          <m:jc m:val="center"/>
        </m:oMathParaPr>
        <m:oMath>
          <m:sSub>
            <m:e>
              <m:r>
                <m:t>A</m:t>
              </m:r>
            </m:e>
            <m:sub>
              <m:r>
                <m:t>i</m:t>
              </m:r>
            </m:sub>
          </m:sSub>
          <m:r>
            <m:rPr>
              <m:sty m:val="p"/>
            </m:rPr>
            <m:t>∼</m:t>
          </m:r>
          <m:r>
            <m:t>C</m:t>
          </m:r>
          <m:r>
            <m:t>a</m:t>
          </m:r>
          <m:r>
            <m:t>t</m:t>
          </m:r>
          <m:r>
            <m:t>e</m:t>
          </m:r>
          <m:r>
            <m:t>g</m:t>
          </m:r>
          <m:r>
            <m:t>o</m:t>
          </m:r>
          <m:r>
            <m:t>r</m:t>
          </m:r>
          <m:r>
            <m:t>i</m:t>
          </m:r>
          <m:r>
            <m:t>c</m:t>
          </m:r>
          <m:r>
            <m:t>a</m:t>
          </m:r>
          <m:r>
            <m:t>l</m:t>
          </m:r>
          <m:d>
            <m:dPr>
              <m:begChr m:val="("/>
              <m:endChr m:val=")"/>
              <m:sepChr m:val=""/>
              <m:grow/>
            </m:dPr>
            <m:e>
              <m:r>
                <m:t>p</m:t>
              </m:r>
              <m:d>
                <m:dPr>
                  <m:begChr m:val="("/>
                  <m:endChr m:val=")"/>
                  <m:sepChr m:val=""/>
                  <m:grow/>
                </m:dPr>
                <m:e>
                  <m:sSub>
                    <m:e>
                      <m:r>
                        <m:t>t</m:t>
                      </m:r>
                    </m:e>
                    <m:sub>
                      <m:r>
                        <m:t>i</m:t>
                      </m:r>
                    </m:sub>
                  </m:sSub>
                  <m:r>
                    <m:rPr>
                      <m:sty m:val="p"/>
                    </m:rPr>
                    <m:t>,</m:t>
                  </m:r>
                  <m:r>
                    <m:t>s</m:t>
                  </m:r>
                  <m:r>
                    <m:t>p</m:t>
                  </m:r>
                  <m:r>
                    <m:t>a</m:t>
                  </m:r>
                  <m:r>
                    <m:t>c</m:t>
                  </m:r>
                  <m:r>
                    <m:t>e</m:t>
                  </m:r>
                  <m:r>
                    <m:rPr>
                      <m:sty m:val="p"/>
                    </m:rPr>
                    <m:t>,</m:t>
                  </m:r>
                  <m:r>
                    <m:t>d</m:t>
                  </m:r>
                  <m:r>
                    <m:t>a</m:t>
                  </m:r>
                  <m:r>
                    <m:t>y</m:t>
                  </m:r>
                  <m:r>
                    <m:rPr>
                      <m:sty m:val="p"/>
                    </m:rPr>
                    <m:t>,</m:t>
                  </m:r>
                  <m:r>
                    <m:t>s</m:t>
                  </m:r>
                  <m:r>
                    <m:t>t</m:t>
                  </m:r>
                  <m:r>
                    <m:t>a</m:t>
                  </m:r>
                  <m:r>
                    <m:t>t</m:t>
                  </m:r>
                  <m:r>
                    <m:t>e</m:t>
                  </m:r>
                </m:e>
              </m:d>
            </m:e>
          </m:d>
          <m:r>
            <m:rPr>
              <m:sty m:val="p"/>
            </m:rPr>
            <m:t>.</m:t>
          </m:r>
        </m:oMath>
      </m:oMathPara>
    </w:p>
    <w:p>
      <w:pPr>
        <w:pStyle w:val="FirstParagraph"/>
      </w:pPr>
      <w:r>
        <w:t xml:space="preserve">The category remains fixed until departure. Per-audience occupancy is the number of active visitors carrying each category.</w:t>
      </w:r>
    </w:p>
    <w:p>
      <w:pPr>
        <w:pStyle w:val="BodyText"/>
      </w:pPr>
      <w:r>
        <w:t xml:space="preserve">The Core categories are:</w:t>
      </w:r>
    </w:p>
    <w:p>
      <w:pPr>
        <w:pStyle w:val="SourceCode"/>
      </w:pPr>
      <w:r>
        <w:rPr>
          <w:rStyle w:val="VerbatimChar"/>
        </w:rPr>
        <w:t xml:space="preserve">general_public</w:t>
      </w:r>
      <w:r>
        <w:br/>
      </w:r>
      <w:r>
        <w:rPr>
          <w:rStyle w:val="VerbatimChar"/>
        </w:rPr>
        <w:t xml:space="preserve">families</w:t>
      </w:r>
      <w:r>
        <w:br/>
      </w:r>
      <w:r>
        <w:rPr>
          <w:rStyle w:val="VerbatimChar"/>
        </w:rPr>
        <w:t xml:space="preserve">elderly</w:t>
      </w:r>
      <w:r>
        <w:br/>
      </w:r>
      <w:r>
        <w:rPr>
          <w:rStyle w:val="VerbatimChar"/>
        </w:rPr>
        <w:t xml:space="preserve">students</w:t>
      </w:r>
      <w:r>
        <w:br/>
      </w:r>
      <w:r>
        <w:rPr>
          <w:rStyle w:val="VerbatimChar"/>
        </w:rPr>
        <w:t xml:space="preserve">commuters</w:t>
      </w:r>
      <w:r>
        <w:br/>
      </w:r>
      <w:r>
        <w:rPr>
          <w:rStyle w:val="VerbatimChar"/>
        </w:rPr>
        <w:t xml:space="preserve">event_attendees</w:t>
      </w:r>
    </w:p>
    <w:p>
      <w:pPr>
        <w:pStyle w:val="FirstParagraph"/>
      </w:pPr>
      <w:r>
        <w:t xml:space="preserve">These are mutually exclusive</w:t>
      </w:r>
      <w:r>
        <w:t xml:space="preserve"> </w:t>
      </w:r>
      <w:r>
        <w:rPr>
          <w:iCs/>
          <w:i/>
        </w:rPr>
        <w:t xml:space="preserve">primary communication segments</w:t>
      </w:r>
      <w:r>
        <w:t xml:space="preserve"> </w:t>
      </w:r>
      <w:r>
        <w:t xml:space="preserve">by construction, not claims about mutually exclusive real-world identities.</w:t>
      </w:r>
    </w:p>
    <w:p>
      <w:pPr>
        <w:pStyle w:val="BodyText"/>
      </w:pPr>
      <w:r>
        <w:t xml:space="preserve">The probability table is supplied as hourly/context knots and linearly interpolated between adjacent hourly knots before normalization; the knot axis is circular over the 24-hour clock, so interpolation between the 23:00 and 00:00 knots crosses midnight continuously. Negative probabilities are rejected, and a vector whose interpolated sum is zero at any evaluation time is a configuration error rejected at canonicalization. A deterministic largest-remainder aggregate mode MAY be supported for backward compatibility, but it MUST be labelled</w:t>
      </w:r>
      <w:r>
        <w:t xml:space="preserve"> </w:t>
      </w:r>
      <w:r>
        <w:rPr>
          <w:rStyle w:val="VerbatimChar"/>
        </w:rPr>
        <w:t xml:space="preserve">audience_assignment_mode = aggregate_largest_remainder</w:t>
      </w:r>
      <w:r>
        <w:t xml:space="preserve"> </w:t>
      </w:r>
      <w:r>
        <w:t xml:space="preserve">and is not the default.</w:t>
      </w:r>
    </w:p>
    <w:bookmarkEnd w:id="59"/>
    <w:bookmarkStart w:id="60" w:name="traffic-flow"/>
    <w:p>
      <w:pPr>
        <w:pStyle w:val="Heading2"/>
      </w:pPr>
      <w:r>
        <w:t xml:space="preserve">6.13 Traffic flow</w:t>
      </w:r>
    </w:p>
    <w:p>
      <w:pPr>
        <w:pStyle w:val="FirstParagraph"/>
      </w:pPr>
      <w:r>
        <w:t xml:space="preserve">Traffic is independent of pedestrian occupancy except through shared calendar drivers. The default model is</w:t>
      </w:r>
    </w:p>
    <w:p>
      <w:pPr>
        <w:pStyle w:val="BodyText"/>
      </w:pPr>
      <m:oMathPara>
        <m:oMathParaPr>
          <m:jc m:val="center"/>
        </m:oMathParaPr>
        <m:oMath>
          <m:sSub>
            <m:e>
              <m:r>
                <m:t>q</m:t>
              </m:r>
            </m:e>
            <m:sub>
              <m:r>
                <m:t>t</m:t>
              </m:r>
            </m:sub>
          </m:sSub>
          <m:r>
            <m:rPr>
              <m:sty m:val="p"/>
            </m:rPr>
            <m:t>=</m:t>
          </m:r>
          <m:sSub>
            <m:e>
              <m:r>
                <m:t>q</m:t>
              </m:r>
            </m:e>
            <m:sub>
              <m:r>
                <m:t>b</m:t>
              </m:r>
              <m:r>
                <m:t>a</m:t>
              </m:r>
              <m:r>
                <m:t>s</m:t>
              </m:r>
              <m:r>
                <m:t>e</m:t>
              </m:r>
            </m:sub>
          </m:sSub>
          <m:sSub>
            <m:e>
              <m:r>
                <m:t>d</m:t>
              </m:r>
            </m:e>
            <m:sub>
              <m:r>
                <m:t>t</m:t>
              </m:r>
              <m:r>
                <m:t>r</m:t>
              </m:r>
              <m:r>
                <m:t>a</m:t>
              </m:r>
              <m:r>
                <m:t>f</m:t>
              </m:r>
              <m:r>
                <m:t>f</m:t>
              </m:r>
              <m:r>
                <m:t>i</m:t>
              </m:r>
              <m:r>
                <m:t>c</m:t>
              </m:r>
            </m:sub>
          </m:sSub>
          <m:d>
            <m:dPr>
              <m:begChr m:val="("/>
              <m:endChr m:val=")"/>
              <m:sepChr m:val=""/>
              <m:grow/>
            </m:dPr>
            <m:e>
              <m:r>
                <m:t>t</m:t>
              </m:r>
            </m:e>
          </m:d>
          <m:sSub>
            <m:e>
              <m:r>
                <m:t>s</m:t>
              </m:r>
            </m:e>
            <m:sub>
              <m:r>
                <m:t>d</m:t>
              </m:r>
              <m:r>
                <m:t>a</m:t>
              </m:r>
              <m:r>
                <m:t>y</m:t>
              </m:r>
            </m:sub>
          </m:sSub>
          <m:d>
            <m:dPr>
              <m:begChr m:val="("/>
              <m:endChr m:val=")"/>
              <m:sepChr m:val=""/>
              <m:grow/>
            </m:dPr>
            <m:e>
              <m:r>
                <m:t>t</m:t>
              </m:r>
            </m:e>
          </m:d>
          <m:r>
            <m:rPr>
              <m:sty m:val="p"/>
            </m:rPr>
            <m:t>exp</m:t>
          </m:r>
          <m:d>
            <m:dPr>
              <m:begChr m:val="("/>
              <m:endChr m:val=")"/>
              <m:sepChr m:val=""/>
              <m:grow/>
            </m:dPr>
            <m:e>
              <m:sSub>
                <m:e>
                  <m:r>
                    <m:t>x</m:t>
                  </m:r>
                </m:e>
                <m:sub>
                  <m:r>
                    <m:t>t</m:t>
                  </m:r>
                </m:sub>
              </m:sSub>
              <m:r>
                <m:rPr>
                  <m:sty m:val="p"/>
                </m:rPr>
                <m:t>−</m:t>
              </m:r>
              <m:f>
                <m:fPr>
                  <m:type m:val="lin"/>
                </m:fPr>
                <m:num>
                  <m:r>
                    <m:t>1</m:t>
                  </m:r>
                </m:num>
                <m:den>
                  <m:r>
                    <m:t>2</m:t>
                  </m:r>
                </m:den>
              </m:f>
              <m:sSubSup>
                <m:e>
                  <m:r>
                    <m:t>σ</m:t>
                  </m:r>
                </m:e>
                <m:sub>
                  <m:r>
                    <m:t>q</m:t>
                  </m:r>
                </m:sub>
                <m:sup>
                  <m:r>
                    <m:t>2</m:t>
                  </m:r>
                </m:sup>
              </m:sSubSup>
            </m:e>
          </m:d>
          <m:r>
            <m:rPr>
              <m:sty m:val="p"/>
            </m:rPr>
            <m:t>,</m:t>
          </m:r>
        </m:oMath>
      </m:oMathPara>
    </w:p>
    <w:p>
      <w:pPr>
        <w:pStyle w:val="FirstParagraph"/>
      </w:pPr>
      <w:r>
        <w:t xml:space="preserve">where</w:t>
      </w:r>
      <w:r>
        <w:t xml:space="preserve"> </w:t>
      </w:r>
      <m:oMath>
        <m:sSub>
          <m:e>
            <m:r>
              <m:t>x</m:t>
            </m:r>
          </m:e>
          <m:sub>
            <m:r>
              <m:t>t</m:t>
            </m:r>
          </m:sub>
        </m:sSub>
      </m:oMath>
      <w:r>
        <w:t xml:space="preserve"> </w:t>
      </w:r>
      <w:r>
        <w:t xml:space="preserve">is a zero-mean stationary AR(1) process with variance</w:t>
      </w:r>
      <w:r>
        <w:t xml:space="preserve"> </w:t>
      </w:r>
      <m:oMath>
        <m:sSubSup>
          <m:e>
            <m:r>
              <m:t>σ</m:t>
            </m:r>
          </m:e>
          <m:sub>
            <m:r>
              <m:t>q</m:t>
            </m:r>
          </m:sub>
          <m:sup>
            <m:r>
              <m:t>2</m:t>
            </m:r>
          </m:sup>
        </m:sSubSup>
      </m:oMath>
      <w:r>
        <w:t xml:space="preserve">. The exponential correction preserves the arithmetic mean.</w:t>
      </w:r>
    </w:p>
    <w:p>
      <w:pPr>
        <w:pStyle w:val="BodyText"/>
      </w:pPr>
      <w:r>
        <w:rPr>
          <w:rStyle w:val="VerbatimChar"/>
        </w:rPr>
        <w:t xml:space="preserve">traffic_flow_vehicles_h</w:t>
      </w:r>
      <w:r>
        <w:t xml:space="preserve"> </w:t>
      </w:r>
      <w:r>
        <w:t xml:space="preserve">is non-negative and MAY be rounded to an integer count only if the scenario explicitly requests a count process. Otherwise it remains a continuous rate.</w:t>
      </w:r>
    </w:p>
    <w:bookmarkEnd w:id="60"/>
    <w:bookmarkStart w:id="62" w:name="X7a47f1ad9544882f2f844084d996780b7ed4938"/>
    <w:p>
      <w:pPr>
        <w:pStyle w:val="Heading2"/>
      </w:pPr>
      <w:r>
        <w:t xml:space="preserve">6.14 Pollutant emissions and physical box model</w:t>
      </w:r>
    </w:p>
    <w:p>
      <w:pPr>
        <w:pStyle w:val="FirstParagraph"/>
      </w:pPr>
      <w:r>
        <w:t xml:space="preserve">For pollutant species</w:t>
      </w:r>
      <w:r>
        <w:t xml:space="preserve"> </w:t>
      </w:r>
      <m:oMath>
        <m:r>
          <m:t>r</m:t>
        </m:r>
      </m:oMath>
      <w:r>
        <w:t xml:space="preserve">, traffic emissions are</w:t>
      </w:r>
    </w:p>
    <w:p>
      <w:pPr>
        <w:pStyle w:val="BodyText"/>
      </w:pPr>
      <m:oMathPara>
        <m:oMathParaPr>
          <m:jc m:val="center"/>
        </m:oMathParaPr>
        <m:oMath>
          <m:sSub>
            <m:e>
              <m:r>
                <m:t>E</m:t>
              </m:r>
            </m:e>
            <m:sub>
              <m:r>
                <m:t>r</m:t>
              </m:r>
            </m:sub>
          </m:sSub>
          <m:d>
            <m:dPr>
              <m:begChr m:val="("/>
              <m:endChr m:val=")"/>
              <m:sepChr m:val=""/>
              <m:grow/>
            </m:dPr>
            <m:e>
              <m:r>
                <m:t>t</m:t>
              </m:r>
            </m:e>
          </m:d>
          <m:r>
            <m:rPr>
              <m:sty m:val="p"/>
            </m:rPr>
            <m:t>=</m:t>
          </m:r>
          <m:f>
            <m:fPr>
              <m:type m:val="bar"/>
            </m:fPr>
            <m:num>
              <m:r>
                <m:t>q</m:t>
              </m:r>
              <m:d>
                <m:dPr>
                  <m:begChr m:val="("/>
                  <m:endChr m:val=")"/>
                  <m:sepChr m:val=""/>
                  <m:grow/>
                </m:dPr>
                <m:e>
                  <m:r>
                    <m:t>t</m:t>
                  </m:r>
                </m:e>
              </m:d>
              <m:r>
                <m:t> </m:t>
              </m:r>
              <m:r>
                <m:t>E</m:t>
              </m:r>
              <m:sSub>
                <m:e>
                  <m:r>
                    <m:t>F</m:t>
                  </m:r>
                </m:e>
                <m:sub>
                  <m:r>
                    <m:t>r</m:t>
                  </m:r>
                </m:sub>
              </m:sSub>
            </m:num>
            <m:den>
              <m:r>
                <m:t>3600</m:t>
              </m:r>
            </m:den>
          </m:f>
          <m:r>
            <m:rPr>
              <m:sty m:val="p"/>
            </m:rPr>
            <m:t>+</m:t>
          </m:r>
          <m:sSub>
            <m:e>
              <m:r>
                <m:t>E</m:t>
              </m:r>
            </m:e>
            <m:sub>
              <m:r>
                <m:t>a</m:t>
              </m:r>
              <m:r>
                <m:t>c</m:t>
              </m:r>
              <m:r>
                <m:t>t</m:t>
              </m:r>
              <m:r>
                <m:t>i</m:t>
              </m:r>
              <m:r>
                <m:t>v</m:t>
              </m:r>
              <m:r>
                <m:t>i</m:t>
              </m:r>
              <m:r>
                <m:t>t</m:t>
              </m:r>
              <m:r>
                <m:t>y</m:t>
              </m:r>
              <m:r>
                <m:rPr>
                  <m:sty m:val="p"/>
                </m:rPr>
                <m:t>,</m:t>
              </m:r>
              <m:r>
                <m:t>r</m:t>
              </m:r>
            </m:sub>
          </m:sSub>
          <m:d>
            <m:dPr>
              <m:begChr m:val="("/>
              <m:endChr m:val=")"/>
              <m:sepChr m:val=""/>
              <m:grow/>
            </m:dPr>
            <m:e>
              <m:r>
                <m:t>t</m:t>
              </m:r>
            </m:e>
          </m:d>
          <m:r>
            <m:rPr>
              <m:sty m:val="p"/>
            </m:rPr>
            <m:t>,</m:t>
          </m:r>
        </m:oMath>
      </m:oMathPara>
    </w:p>
    <w:p>
      <w:pPr>
        <w:pStyle w:val="FirstParagraph"/>
      </w:pPr>
      <w:r>
        <w:t xml:space="preserve">where</w:t>
      </w:r>
      <w:r>
        <w:t xml:space="preserve"> </w:t>
      </w:r>
      <w:r>
        <w:rPr>
          <w:rStyle w:val="VerbatimChar"/>
        </w:rPr>
        <w:t xml:space="preserve">EF_r</w:t>
      </w:r>
      <w:r>
        <w:t xml:space="preserve"> </w:t>
      </w:r>
      <w:r>
        <w:t xml:space="preserve">is in microgram per vehicle and</w:t>
      </w:r>
      <w:r>
        <w:t xml:space="preserve"> </w:t>
      </w:r>
      <m:oMath>
        <m:sSub>
          <m:e>
            <m:r>
              <m:t>E</m:t>
            </m:r>
          </m:e>
          <m:sub>
            <m:r>
              <m:t>r</m:t>
            </m:r>
          </m:sub>
        </m:sSub>
      </m:oMath>
      <w:r>
        <w:t xml:space="preserve"> </w:t>
      </w:r>
      <w:r>
        <w:t xml:space="preserve">is in microgram/s.</w:t>
      </w:r>
      <w:r>
        <w:t xml:space="preserve"> </w:t>
      </w:r>
      <w:r>
        <w:rPr>
          <w:rStyle w:val="VerbatimChar"/>
        </w:rPr>
        <w:t xml:space="preserve">EF_r</w:t>
      </w:r>
      <w:r>
        <w:t xml:space="preserve"> </w:t>
      </w:r>
      <w:r>
        <w:t xml:space="preserve">is the average emission mass attributed to one vehicle while it is inside the box footprint; it is a scenario-level calibration parameter, not a per-kilometre emission factor.</w:t>
      </w:r>
    </w:p>
    <w:p>
      <w:pPr>
        <w:pStyle w:val="BodyText"/>
      </w:pPr>
      <w:r>
        <w:t xml:space="preserve">Let</w:t>
      </w:r>
      <w:r>
        <w:t xml:space="preserve"> </w:t>
      </w:r>
      <m:oMath>
        <m:r>
          <m:t>V</m:t>
        </m:r>
        <m:r>
          <m:rPr>
            <m:sty m:val="p"/>
          </m:rPr>
          <m:t>=</m:t>
        </m:r>
        <m:r>
          <m:t>H</m:t>
        </m:r>
        <m:r>
          <m:t>A</m:t>
        </m:r>
      </m:oMath>
      <w:r>
        <w:t xml:space="preserve">,</w:t>
      </w:r>
      <w:r>
        <w:t xml:space="preserve"> </w:t>
      </w:r>
      <m:oMath>
        <m:sSub>
          <m:e>
            <m:r>
              <m:t>k</m:t>
            </m:r>
          </m:e>
          <m:sub>
            <m:r>
              <m:t>v</m:t>
            </m:r>
            <m:r>
              <m:t>e</m:t>
            </m:r>
            <m:r>
              <m:t>n</m:t>
            </m:r>
            <m:r>
              <m:t>t</m:t>
            </m:r>
          </m:sub>
        </m:sSub>
        <m:r>
          <m:rPr>
            <m:sty m:val="p"/>
          </m:rPr>
          <m:t>=</m:t>
        </m:r>
        <m:sSub>
          <m:e>
            <m:r>
              <m:t>u</m:t>
            </m:r>
          </m:e>
          <m:sub>
            <m:r>
              <m:t>e</m:t>
            </m:r>
            <m:r>
              <m:t>f</m:t>
            </m:r>
            <m:r>
              <m:t>f</m:t>
            </m:r>
          </m:sub>
        </m:sSub>
        <m:r>
          <m:rPr>
            <m:sty m:val="p"/>
          </m:rPr>
          <m:t>/</m:t>
        </m:r>
        <m:sSub>
          <m:e>
            <m:r>
              <m:t>L</m:t>
            </m:r>
          </m:e>
          <m:sub>
            <m:r>
              <m:t>x</m:t>
            </m:r>
          </m:sub>
        </m:sSub>
      </m:oMath>
      <w:r>
        <w:t xml:space="preserve">, and let</w:t>
      </w:r>
      <w:r>
        <w:t xml:space="preserve"> </w:t>
      </w:r>
      <m:oMath>
        <m:sSub>
          <m:e>
            <m:r>
              <m:t>k</m:t>
            </m:r>
          </m:e>
          <m:sub>
            <m:r>
              <m:t>d</m:t>
            </m:r>
            <m:r>
              <m:t>e</m:t>
            </m:r>
            <m:r>
              <m:t>p</m:t>
            </m:r>
          </m:sub>
        </m:sSub>
      </m:oMath>
      <w:r>
        <w:t xml:space="preserve"> </w:t>
      </w:r>
      <w:r>
        <w:t xml:space="preserve">and</w:t>
      </w:r>
      <w:r>
        <w:t xml:space="preserve"> </w:t>
      </w:r>
      <m:oMath>
        <m:sSub>
          <m:e>
            <m:r>
              <m:t>k</m:t>
            </m:r>
          </m:e>
          <m:sub>
            <m:r>
              <m:t>c</m:t>
            </m:r>
            <m:r>
              <m:t>h</m:t>
            </m:r>
            <m:r>
              <m:t>e</m:t>
            </m:r>
            <m:r>
              <m:t>m</m:t>
            </m:r>
          </m:sub>
        </m:sSub>
      </m:oMath>
      <w:r>
        <w:t xml:space="preserve"> </w:t>
      </w:r>
      <w:r>
        <w:t xml:space="preserve">be species-specific loss rates in</w:t>
      </w:r>
      <w:r>
        <w:t xml:space="preserve"> </w:t>
      </w:r>
      <m:oMath>
        <m:sSup>
          <m:e>
            <m:r>
              <m:t>s</m:t>
            </m:r>
          </m:e>
          <m:sup>
            <m:r>
              <m:rPr>
                <m:sty m:val="p"/>
              </m:rPr>
              <m:t>−</m:t>
            </m:r>
            <m:r>
              <m:t>1</m:t>
            </m:r>
          </m:sup>
        </m:sSup>
      </m:oMath>
      <w:r>
        <w:t xml:space="preserve">:</w:t>
      </w:r>
    </w:p>
    <w:p>
      <w:pPr>
        <w:pStyle w:val="BodyText"/>
      </w:pPr>
      <m:oMathPara>
        <m:oMathParaPr>
          <m:jc m:val="center"/>
        </m:oMathParaPr>
        <m:oMath>
          <m:f>
            <m:fPr>
              <m:type m:val="bar"/>
            </m:fPr>
            <m:num>
              <m:r>
                <m:t>d</m:t>
              </m:r>
              <m:r>
                <m:t>C</m:t>
              </m:r>
            </m:num>
            <m:den>
              <m:r>
                <m:t>d</m:t>
              </m:r>
              <m:r>
                <m:t>t</m:t>
              </m:r>
            </m:den>
          </m:f>
          <m:r>
            <m:rPr>
              <m:sty m:val="p"/>
            </m:rPr>
            <m:t>=</m:t>
          </m:r>
          <m:f>
            <m:fPr>
              <m:type m:val="bar"/>
            </m:fPr>
            <m:num>
              <m:r>
                <m:t>E</m:t>
              </m:r>
            </m:num>
            <m:den>
              <m:r>
                <m:t>V</m:t>
              </m:r>
            </m:den>
          </m:f>
          <m:r>
            <m:rPr>
              <m:sty m:val="p"/>
            </m:rPr>
            <m:t>+</m:t>
          </m:r>
          <m:sSub>
            <m:e>
              <m:r>
                <m:t>k</m:t>
              </m:r>
            </m:e>
            <m:sub>
              <m:r>
                <m:t>v</m:t>
              </m:r>
              <m:r>
                <m:t>e</m:t>
              </m:r>
              <m:r>
                <m:t>n</m:t>
              </m:r>
              <m:r>
                <m:t>t</m:t>
              </m:r>
            </m:sub>
          </m:sSub>
          <m:sSub>
            <m:e>
              <m:r>
                <m:t>C</m:t>
              </m:r>
            </m:e>
            <m:sub>
              <m:r>
                <m:t>b</m:t>
              </m:r>
              <m:r>
                <m:t>g</m:t>
              </m:r>
            </m:sub>
          </m:sSub>
          <m:r>
            <m:rPr>
              <m:sty m:val="p"/>
            </m:rPr>
            <m:t>−</m:t>
          </m:r>
          <m:d>
            <m:dPr>
              <m:begChr m:val="("/>
              <m:endChr m:val=")"/>
              <m:sepChr m:val=""/>
              <m:grow/>
            </m:dPr>
            <m:e>
              <m:sSub>
                <m:e>
                  <m:r>
                    <m:t>k</m:t>
                  </m:r>
                </m:e>
                <m:sub>
                  <m:r>
                    <m:t>v</m:t>
                  </m:r>
                  <m:r>
                    <m:t>e</m:t>
                  </m:r>
                  <m:r>
                    <m:t>n</m:t>
                  </m:r>
                  <m:r>
                    <m:t>t</m:t>
                  </m:r>
                </m:sub>
              </m:sSub>
              <m:r>
                <m:rPr>
                  <m:sty m:val="p"/>
                </m:rPr>
                <m:t>+</m:t>
              </m:r>
              <m:sSub>
                <m:e>
                  <m:r>
                    <m:t>k</m:t>
                  </m:r>
                </m:e>
                <m:sub>
                  <m:r>
                    <m:t>d</m:t>
                  </m:r>
                  <m:r>
                    <m:t>e</m:t>
                  </m:r>
                  <m:r>
                    <m:t>p</m:t>
                  </m:r>
                </m:sub>
              </m:sSub>
              <m:r>
                <m:rPr>
                  <m:sty m:val="p"/>
                </m:rPr>
                <m:t>+</m:t>
              </m:r>
              <m:sSub>
                <m:e>
                  <m:r>
                    <m:t>k</m:t>
                  </m:r>
                </m:e>
                <m:sub>
                  <m:r>
                    <m:t>c</m:t>
                  </m:r>
                  <m:r>
                    <m:t>h</m:t>
                  </m:r>
                  <m:r>
                    <m:t>e</m:t>
                  </m:r>
                  <m:r>
                    <m:t>m</m:t>
                  </m:r>
                </m:sub>
              </m:sSub>
            </m:e>
          </m:d>
          <m:r>
            <m:t>C</m:t>
          </m:r>
          <m:r>
            <m:rPr>
              <m:sty m:val="p"/>
            </m:rPr>
            <m:t>.</m:t>
          </m:r>
        </m:oMath>
      </m:oMathPara>
    </w:p>
    <w:p>
      <w:pPr>
        <w:pStyle w:val="FirstParagraph"/>
      </w:pPr>
      <w:r>
        <w:t xml:space="preserve">For constant inputs during a step:</w:t>
      </w:r>
    </w:p>
    <w:p>
      <w:pPr>
        <w:pStyle w:val="BodyText"/>
      </w:pPr>
      <m:oMathPara>
        <m:oMathParaPr>
          <m:jc m:val="center"/>
        </m:oMathParaPr>
        <m:oMath>
          <m:sSub>
            <m:e>
              <m:r>
                <m:t>k</m:t>
              </m:r>
            </m:e>
            <m:sub>
              <m:r>
                <m:t>t</m:t>
              </m:r>
              <m:r>
                <m:t>o</m:t>
              </m:r>
              <m:r>
                <m:t>t</m:t>
              </m:r>
            </m:sub>
          </m:sSub>
          <m:r>
            <m:rPr>
              <m:sty m:val="p"/>
            </m:rPr>
            <m:t>=</m:t>
          </m:r>
          <m:sSub>
            <m:e>
              <m:r>
                <m:t>k</m:t>
              </m:r>
            </m:e>
            <m:sub>
              <m:r>
                <m:t>v</m:t>
              </m:r>
              <m:r>
                <m:t>e</m:t>
              </m:r>
              <m:r>
                <m:t>n</m:t>
              </m:r>
              <m:r>
                <m:t>t</m:t>
              </m:r>
            </m:sub>
          </m:sSub>
          <m:r>
            <m:rPr>
              <m:sty m:val="p"/>
            </m:rPr>
            <m:t>+</m:t>
          </m:r>
          <m:sSub>
            <m:e>
              <m:r>
                <m:t>k</m:t>
              </m:r>
            </m:e>
            <m:sub>
              <m:r>
                <m:t>d</m:t>
              </m:r>
              <m:r>
                <m:t>e</m:t>
              </m:r>
              <m:r>
                <m:t>p</m:t>
              </m:r>
            </m:sub>
          </m:sSub>
          <m:r>
            <m:rPr>
              <m:sty m:val="p"/>
            </m:rPr>
            <m:t>+</m:t>
          </m:r>
          <m:sSub>
            <m:e>
              <m:r>
                <m:t>k</m:t>
              </m:r>
            </m:e>
            <m:sub>
              <m:r>
                <m:t>c</m:t>
              </m:r>
              <m:r>
                <m:t>h</m:t>
              </m:r>
              <m:r>
                <m:t>e</m:t>
              </m:r>
              <m:r>
                <m:t>m</m:t>
              </m:r>
            </m:sub>
          </m:sSub>
          <m:r>
            <m:rPr>
              <m:sty m:val="p"/>
            </m:rPr>
            <m:t>,</m:t>
          </m:r>
        </m:oMath>
      </m:oMathPara>
    </w:p>
    <w:p>
      <w:pPr>
        <w:pStyle w:val="FirstParagraph"/>
      </w:pPr>
      <m:oMathPara>
        <m:oMathParaPr>
          <m:jc m:val="center"/>
        </m:oMathParaPr>
        <m:oMath>
          <m:sSub>
            <m:e>
              <m:r>
                <m:t>C</m:t>
              </m:r>
            </m:e>
            <m:sub>
              <m:r>
                <m:rPr>
                  <m:sty m:val="p"/>
                </m:rPr>
                <m:t>∞</m:t>
              </m:r>
            </m:sub>
          </m:sSub>
          <m:r>
            <m:rPr>
              <m:sty m:val="p"/>
            </m:rPr>
            <m:t>=</m:t>
          </m:r>
          <m:f>
            <m:fPr>
              <m:type m:val="bar"/>
            </m:fPr>
            <m:num>
              <m:r>
                <m:t>E</m:t>
              </m:r>
              <m:r>
                <m:rPr>
                  <m:sty m:val="p"/>
                </m:rPr>
                <m:t>/</m:t>
              </m:r>
              <m:r>
                <m:t>V</m:t>
              </m:r>
              <m:r>
                <m:rPr>
                  <m:sty m:val="p"/>
                </m:rPr>
                <m:t>+</m:t>
              </m:r>
              <m:sSub>
                <m:e>
                  <m:r>
                    <m:t>k</m:t>
                  </m:r>
                </m:e>
                <m:sub>
                  <m:r>
                    <m:t>v</m:t>
                  </m:r>
                  <m:r>
                    <m:t>e</m:t>
                  </m:r>
                  <m:r>
                    <m:t>n</m:t>
                  </m:r>
                  <m:r>
                    <m:t>t</m:t>
                  </m:r>
                </m:sub>
              </m:sSub>
              <m:sSub>
                <m:e>
                  <m:r>
                    <m:t>C</m:t>
                  </m:r>
                </m:e>
                <m:sub>
                  <m:r>
                    <m:t>b</m:t>
                  </m:r>
                  <m:r>
                    <m:t>g</m:t>
                  </m:r>
                </m:sub>
              </m:sSub>
            </m:num>
            <m:den>
              <m:sSub>
                <m:e>
                  <m:r>
                    <m:t>k</m:t>
                  </m:r>
                </m:e>
                <m:sub>
                  <m:r>
                    <m:t>t</m:t>
                  </m:r>
                  <m:r>
                    <m:t>o</m:t>
                  </m:r>
                  <m:r>
                    <m:t>t</m:t>
                  </m:r>
                </m:sub>
              </m:sSub>
            </m:den>
          </m:f>
          <m:r>
            <m:rPr>
              <m:sty m:val="p"/>
            </m:rPr>
            <m:t>,</m:t>
          </m:r>
        </m:oMath>
      </m:oMathPara>
    </w:p>
    <w:p>
      <w:pPr>
        <w:pStyle w:val="FirstParagraph"/>
      </w:pPr>
      <m:oMathPara>
        <m:oMathParaPr>
          <m:jc m:val="center"/>
        </m:oMathParaPr>
        <m:oMath>
          <m:r>
            <m:t>C</m:t>
          </m:r>
          <m:d>
            <m:dPr>
              <m:begChr m:val="("/>
              <m:endChr m:val=")"/>
              <m:sepChr m:val=""/>
              <m:grow/>
            </m:dPr>
            <m:e>
              <m:r>
                <m:t>t</m:t>
              </m:r>
              <m:r>
                <m:rPr>
                  <m:sty m:val="p"/>
                </m:rPr>
                <m:t>+</m:t>
              </m:r>
              <m:r>
                <m:t>Δ</m:t>
              </m:r>
              <m:r>
                <m:t>t</m:t>
              </m:r>
            </m:e>
          </m:d>
          <m:r>
            <m:rPr>
              <m:sty m:val="p"/>
            </m:rPr>
            <m:t>=</m:t>
          </m:r>
          <m:sSub>
            <m:e>
              <m:r>
                <m:t>C</m:t>
              </m:r>
            </m:e>
            <m:sub>
              <m:r>
                <m:rPr>
                  <m:sty m:val="p"/>
                </m:rPr>
                <m:t>∞</m:t>
              </m:r>
            </m:sub>
          </m:sSub>
          <m:r>
            <m:rPr>
              <m:sty m:val="p"/>
            </m:rPr>
            <m:t>+</m:t>
          </m:r>
          <m:d>
            <m:dPr>
              <m:begChr m:val="["/>
              <m:endChr m:val="]"/>
              <m:sepChr m:val=""/>
              <m:grow/>
            </m:dPr>
            <m:e>
              <m:r>
                <m:t>C</m:t>
              </m:r>
              <m:d>
                <m:dPr>
                  <m:begChr m:val="("/>
                  <m:endChr m:val=")"/>
                  <m:sepChr m:val=""/>
                  <m:grow/>
                </m:dPr>
                <m:e>
                  <m:r>
                    <m:t>t</m:t>
                  </m:r>
                </m:e>
              </m:d>
              <m:r>
                <m:rPr>
                  <m:sty m:val="p"/>
                </m:rPr>
                <m:t>−</m:t>
              </m:r>
              <m:sSub>
                <m:e>
                  <m:r>
                    <m:t>C</m:t>
                  </m:r>
                </m:e>
                <m:sub>
                  <m:r>
                    <m:rPr>
                      <m:sty m:val="p"/>
                    </m:rPr>
                    <m:t>∞</m:t>
                  </m:r>
                </m:sub>
              </m:sSub>
            </m:e>
          </m:d>
          <m:sSup>
            <m:e>
              <m:r>
                <m:t>e</m:t>
              </m:r>
            </m:e>
            <m:sup>
              <m:r>
                <m:rPr>
                  <m:sty m:val="p"/>
                </m:rPr>
                <m:t>−</m:t>
              </m:r>
              <m:sSub>
                <m:e>
                  <m:r>
                    <m:t>k</m:t>
                  </m:r>
                </m:e>
                <m:sub>
                  <m:r>
                    <m:t>t</m:t>
                  </m:r>
                  <m:r>
                    <m:t>o</m:t>
                  </m:r>
                  <m:r>
                    <m:t>t</m:t>
                  </m:r>
                </m:sub>
              </m:sSub>
              <m:r>
                <m:t>Δ</m:t>
              </m:r>
              <m:r>
                <m:t>t</m:t>
              </m:r>
            </m:sup>
          </m:sSup>
          <m:r>
            <m:rPr>
              <m:sty m:val="p"/>
            </m:rPr>
            <m:t>.</m:t>
          </m:r>
        </m:oMath>
      </m:oMathPara>
    </w:p>
    <w:p>
      <w:pPr>
        <w:pStyle w:val="FirstParagraph"/>
      </w:pPr>
      <w:r>
        <w:t xml:space="preserve">If</w:t>
      </w:r>
      <w:r>
        <w:t xml:space="preserve"> </w:t>
      </w:r>
      <m:oMath>
        <m:sSub>
          <m:e>
            <m:r>
              <m:t>k</m:t>
            </m:r>
          </m:e>
          <m:sub>
            <m:r>
              <m:t>t</m:t>
            </m:r>
            <m:r>
              <m:t>o</m:t>
            </m:r>
            <m:r>
              <m:t>t</m:t>
            </m:r>
          </m:sub>
        </m:sSub>
        <m:r>
          <m:rPr>
            <m:sty m:val="p"/>
          </m:rPr>
          <m:t>=</m:t>
        </m:r>
        <m:r>
          <m:t>0</m:t>
        </m:r>
      </m:oMath>
      <w:r>
        <w:t xml:space="preserve">, the exact linear update</w:t>
      </w:r>
      <w:r>
        <w:t xml:space="preserve"> </w:t>
      </w:r>
      <m:oMath>
        <m:r>
          <m:t>C</m:t>
        </m:r>
        <m:d>
          <m:dPr>
            <m:begChr m:val="("/>
            <m:endChr m:val=")"/>
            <m:sepChr m:val=""/>
            <m:grow/>
          </m:dPr>
          <m:e>
            <m:r>
              <m:t>t</m:t>
            </m:r>
            <m:r>
              <m:rPr>
                <m:sty m:val="p"/>
              </m:rPr>
              <m:t>+</m:t>
            </m:r>
            <m:r>
              <m:t>Δ</m:t>
            </m:r>
            <m:r>
              <m:t>t</m:t>
            </m:r>
          </m:e>
        </m:d>
        <m:r>
          <m:rPr>
            <m:sty m:val="p"/>
          </m:rPr>
          <m:t>=</m:t>
        </m:r>
        <m:r>
          <m:t>C</m:t>
        </m:r>
        <m:d>
          <m:dPr>
            <m:begChr m:val="("/>
            <m:endChr m:val=")"/>
            <m:sepChr m:val=""/>
            <m:grow/>
          </m:dPr>
          <m:e>
            <m:r>
              <m:t>t</m:t>
            </m:r>
          </m:e>
        </m:d>
        <m:r>
          <m:rPr>
            <m:sty m:val="p"/>
          </m:rPr>
          <m:t>+</m:t>
        </m:r>
        <m:r>
          <m:t>E</m:t>
        </m:r>
        <m:r>
          <m:t>Δ</m:t>
        </m:r>
        <m:r>
          <m:t>t</m:t>
        </m:r>
        <m:r>
          <m:rPr>
            <m:sty m:val="p"/>
          </m:rPr>
          <m:t>/</m:t>
        </m:r>
        <m:r>
          <m:t>V</m:t>
        </m:r>
      </m:oMath>
      <w:r>
        <w:t xml:space="preserve"> </w:t>
      </w:r>
      <w:r>
        <w:t xml:space="preserve">is used. Negative concentrations are numerical errors and cause validation failure.</w:t>
      </w:r>
    </w:p>
    <w:bookmarkStart w:id="61" w:name="calm-wind-regularization"/>
    <w:p>
      <w:pPr>
        <w:pStyle w:val="Heading3"/>
      </w:pPr>
      <w:r>
        <w:t xml:space="preserve">Calm-wind regularization</w:t>
      </w:r>
    </w:p>
    <w:p>
      <w:pPr>
        <w:pStyle w:val="FirstParagraph"/>
      </w:pPr>
      <w:r>
        <w:t xml:space="preserve">The active mode is recorded:</w:t>
      </w:r>
    </w:p>
    <w:p>
      <w:pPr>
        <w:numPr>
          <w:ilvl w:val="0"/>
          <w:numId w:val="1015"/>
        </w:numPr>
        <w:pStyle w:val="Compact"/>
      </w:pPr>
      <w:r>
        <w:rPr>
          <w:rStyle w:val="VerbatimChar"/>
        </w:rPr>
        <w:t xml:space="preserve">additive_baseline</w:t>
      </w:r>
      <w:r>
        <w:t xml:space="preserve">:</w:t>
      </w:r>
      <w:r>
        <w:t xml:space="preserve"> </w:t>
      </w:r>
      <m:oMath>
        <m:sSub>
          <m:e>
            <m:r>
              <m:t>u</m:t>
            </m:r>
          </m:e>
          <m:sub>
            <m:r>
              <m:t>e</m:t>
            </m:r>
            <m:r>
              <m:t>f</m:t>
            </m:r>
            <m:r>
              <m:t>f</m:t>
            </m:r>
          </m:sub>
        </m:sSub>
        <m:r>
          <m:rPr>
            <m:sty m:val="p"/>
          </m:rPr>
          <m:t>=</m:t>
        </m:r>
        <m:r>
          <m:t>u</m:t>
        </m:r>
        <m:r>
          <m:rPr>
            <m:sty m:val="p"/>
          </m:rPr>
          <m:t>+</m:t>
        </m:r>
        <m:sSub>
          <m:e>
            <m:r>
              <m:t>u</m:t>
            </m:r>
          </m:e>
          <m:sub>
            <m:r>
              <m:t>m</m:t>
            </m:r>
            <m:r>
              <m:t>i</m:t>
            </m:r>
            <m:r>
              <m:t>n</m:t>
            </m:r>
          </m:sub>
        </m:sSub>
      </m:oMath>
      <w:r>
        <w:t xml:space="preserve">;</w:t>
      </w:r>
    </w:p>
    <w:p>
      <w:pPr>
        <w:numPr>
          <w:ilvl w:val="0"/>
          <w:numId w:val="1015"/>
        </w:numPr>
        <w:pStyle w:val="Compact"/>
      </w:pPr>
      <w:r>
        <w:rPr>
          <w:rStyle w:val="VerbatimChar"/>
        </w:rPr>
        <w:t xml:space="preserve">hard_floor</w:t>
      </w:r>
      <w:r>
        <w:t xml:space="preserve">:</w:t>
      </w:r>
      <w:r>
        <w:t xml:space="preserve"> </w:t>
      </w:r>
      <m:oMath>
        <m:sSub>
          <m:e>
            <m:r>
              <m:t>u</m:t>
            </m:r>
          </m:e>
          <m:sub>
            <m:r>
              <m:t>e</m:t>
            </m:r>
            <m:r>
              <m:t>f</m:t>
            </m:r>
            <m:r>
              <m:t>f</m:t>
            </m:r>
          </m:sub>
        </m:sSub>
        <m:r>
          <m:rPr>
            <m:sty m:val="p"/>
          </m:rPr>
          <m:t>=</m:t>
        </m:r>
        <m:r>
          <m:rPr>
            <m:sty m:val="p"/>
          </m:rPr>
          <m:t>max</m:t>
        </m:r>
        <m:d>
          <m:dPr>
            <m:begChr m:val="("/>
            <m:endChr m:val=")"/>
            <m:sepChr m:val=""/>
            <m:grow/>
          </m:dPr>
          <m:e>
            <m:r>
              <m:t>u</m:t>
            </m:r>
            <m:r>
              <m:rPr>
                <m:sty m:val="p"/>
              </m:rPr>
              <m:t>,</m:t>
            </m:r>
            <m:sSub>
              <m:e>
                <m:r>
                  <m:t>u</m:t>
                </m:r>
              </m:e>
              <m:sub>
                <m:r>
                  <m:t>m</m:t>
                </m:r>
                <m:r>
                  <m:t>i</m:t>
                </m:r>
                <m:r>
                  <m:t>n</m:t>
                </m:r>
              </m:sub>
            </m:sSub>
          </m:e>
        </m:d>
      </m:oMath>
      <w:r>
        <w:t xml:space="preserve">.</w:t>
      </w:r>
    </w:p>
    <w:p>
      <w:pPr>
        <w:pStyle w:val="FirstParagraph"/>
      </w:pPr>
      <w:r>
        <w:rPr>
          <w:rStyle w:val="VerbatimChar"/>
        </w:rPr>
        <w:t xml:space="preserve">u_min</w:t>
      </w:r>
      <w:r>
        <w:t xml:space="preserve"> </w:t>
      </w:r>
      <w:r>
        <w:t xml:space="preserve">represents residual ventilation only. It MUST NOT be described as deposition. Deposition is represented by</w:t>
      </w:r>
      <w:r>
        <w:t xml:space="preserve"> </w:t>
      </w:r>
      <m:oMath>
        <m:sSub>
          <m:e>
            <m:r>
              <m:t>k</m:t>
            </m:r>
          </m:e>
          <m:sub>
            <m:r>
              <m:t>d</m:t>
            </m:r>
            <m:r>
              <m:t>e</m:t>
            </m:r>
            <m:r>
              <m:t>p</m:t>
            </m:r>
          </m:sub>
        </m:sSub>
      </m:oMath>
      <w:r>
        <w:t xml:space="preserve">.</w:t>
      </w:r>
    </w:p>
    <w:bookmarkEnd w:id="61"/>
    <w:bookmarkEnd w:id="62"/>
    <w:bookmarkStart w:id="63" w:name="pollutant-sensor-observation"/>
    <w:p>
      <w:pPr>
        <w:pStyle w:val="Heading2"/>
      </w:pPr>
      <w:r>
        <w:t xml:space="preserve">6.15 Pollutant sensor observation</w:t>
      </w:r>
    </w:p>
    <w:p>
      <w:pPr>
        <w:pStyle w:val="FirstParagraph"/>
      </w:pPr>
      <w:r>
        <w:t xml:space="preserve">The default arithmetic-mean-preserving multiplicative observation model is</w:t>
      </w:r>
    </w:p>
    <w:p>
      <w:pPr>
        <w:pStyle w:val="BodyText"/>
      </w:pPr>
      <m:oMathPara>
        <m:oMathParaPr>
          <m:jc m:val="center"/>
        </m:oMathParaPr>
        <m:oMath>
          <m:sSub>
            <m:e>
              <m:r>
                <m:t>C</m:t>
              </m:r>
            </m:e>
            <m:sub>
              <m:r>
                <m:t>s</m:t>
              </m:r>
              <m:r>
                <m:t>e</m:t>
              </m:r>
              <m:r>
                <m:t>n</m:t>
              </m:r>
              <m:r>
                <m:t>s</m:t>
              </m:r>
              <m:r>
                <m:t>o</m:t>
              </m:r>
              <m:r>
                <m:t>r</m:t>
              </m:r>
              <m:r>
                <m:rPr>
                  <m:sty m:val="p"/>
                </m:rPr>
                <m:t>,</m:t>
              </m:r>
              <m:r>
                <m:t>r</m:t>
              </m:r>
              <m:r>
                <m:t>a</m:t>
              </m:r>
              <m:r>
                <m:t>w</m:t>
              </m:r>
            </m:sub>
          </m:sSub>
          <m:r>
            <m:rPr>
              <m:sty m:val="p"/>
            </m:rPr>
            <m:t>=</m:t>
          </m:r>
          <m:sSub>
            <m:e>
              <m:r>
                <m:t>C</m:t>
              </m:r>
            </m:e>
            <m:sub>
              <m:r>
                <m:t>p</m:t>
              </m:r>
              <m:r>
                <m:t>h</m:t>
              </m:r>
              <m:r>
                <m:t>y</m:t>
              </m:r>
              <m:r>
                <m:t>s</m:t>
              </m:r>
              <m:r>
                <m:t>i</m:t>
              </m:r>
              <m:r>
                <m:t>c</m:t>
              </m:r>
              <m:r>
                <m:t>a</m:t>
              </m:r>
              <m:r>
                <m:t>l</m:t>
              </m:r>
            </m:sub>
          </m:sSub>
          <m:r>
            <m:rPr>
              <m:sty m:val="p"/>
            </m:rPr>
            <m:t>exp</m:t>
          </m:r>
          <m:d>
            <m:dPr>
              <m:begChr m:val="("/>
              <m:endChr m:val=")"/>
              <m:sepChr m:val=""/>
              <m:grow/>
            </m:dPr>
            <m:e>
              <m:r>
                <m:t>η</m:t>
              </m:r>
              <m:r>
                <m:rPr>
                  <m:sty m:val="p"/>
                </m:rPr>
                <m:t>−</m:t>
              </m:r>
              <m:f>
                <m:fPr>
                  <m:type m:val="lin"/>
                </m:fPr>
                <m:num>
                  <m:r>
                    <m:t>1</m:t>
                  </m:r>
                </m:num>
                <m:den>
                  <m:r>
                    <m:t>2</m:t>
                  </m:r>
                </m:den>
              </m:f>
              <m:sSubSup>
                <m:e>
                  <m:r>
                    <m:t>σ</m:t>
                  </m:r>
                </m:e>
                <m:sub>
                  <m:r>
                    <m:t>o</m:t>
                  </m:r>
                  <m:r>
                    <m:t>b</m:t>
                  </m:r>
                  <m:r>
                    <m:t>s</m:t>
                  </m:r>
                </m:sub>
                <m:sup>
                  <m:r>
                    <m:t>2</m:t>
                  </m:r>
                </m:sup>
              </m:sSubSup>
            </m:e>
          </m:d>
          <m:r>
            <m:rPr>
              <m:sty m:val="p"/>
            </m:rPr>
            <m:t>,</m:t>
          </m:r>
          <m:r>
            <m:t>  </m:t>
          </m:r>
          <m:r>
            <m:t>η</m:t>
          </m:r>
          <m:r>
            <m:rPr>
              <m:sty m:val="p"/>
            </m:rPr>
            <m:t>∼</m:t>
          </m:r>
          <m:r>
            <m:t>N</m:t>
          </m:r>
          <m:d>
            <m:dPr>
              <m:begChr m:val="("/>
              <m:endChr m:val=")"/>
              <m:sepChr m:val=""/>
              <m:grow/>
            </m:dPr>
            <m:e>
              <m:r>
                <m:t>0</m:t>
              </m:r>
              <m:r>
                <m:rPr>
                  <m:sty m:val="p"/>
                </m:rPr>
                <m:t>,</m:t>
              </m:r>
              <m:sSubSup>
                <m:e>
                  <m:r>
                    <m:t>σ</m:t>
                  </m:r>
                </m:e>
                <m:sub>
                  <m:r>
                    <m:t>o</m:t>
                  </m:r>
                  <m:r>
                    <m:t>b</m:t>
                  </m:r>
                  <m:r>
                    <m:t>s</m:t>
                  </m:r>
                </m:sub>
                <m:sup>
                  <m:r>
                    <m:t>2</m:t>
                  </m:r>
                </m:sup>
              </m:sSubSup>
            </m:e>
          </m:d>
          <m:r>
            <m:rPr>
              <m:sty m:val="p"/>
            </m:rPr>
            <m:t>.</m:t>
          </m:r>
        </m:oMath>
      </m:oMathPara>
    </w:p>
    <w:p>
      <w:pPr>
        <w:pStyle w:val="FirstParagraph"/>
      </w:pPr>
      <w:r>
        <w:t xml:space="preserve">Therefore</w:t>
      </w:r>
    </w:p>
    <w:p>
      <w:pPr>
        <w:pStyle w:val="BodyText"/>
      </w:pPr>
      <m:oMathPara>
        <m:oMathParaPr>
          <m:jc m:val="center"/>
        </m:oMathParaPr>
        <m:oMath>
          <m:r>
            <m:t>E</m:t>
          </m:r>
          <m:d>
            <m:dPr>
              <m:begChr m:val="["/>
              <m:endChr m:val="]"/>
              <m:sepChr m:val=""/>
              <m:grow/>
            </m:dPr>
            <m:e>
              <m:sSub>
                <m:e>
                  <m:r>
                    <m:t>C</m:t>
                  </m:r>
                </m:e>
                <m:sub>
                  <m:r>
                    <m:t>s</m:t>
                  </m:r>
                  <m:r>
                    <m:t>e</m:t>
                  </m:r>
                  <m:r>
                    <m:t>n</m:t>
                  </m:r>
                  <m:r>
                    <m:t>s</m:t>
                  </m:r>
                  <m:r>
                    <m:t>o</m:t>
                  </m:r>
                  <m:r>
                    <m:t>r</m:t>
                  </m:r>
                  <m:r>
                    <m:rPr>
                      <m:sty m:val="p"/>
                    </m:rPr>
                    <m:t>,</m:t>
                  </m:r>
                  <m:r>
                    <m:t>r</m:t>
                  </m:r>
                  <m:r>
                    <m:t>a</m:t>
                  </m:r>
                  <m:r>
                    <m:t>w</m:t>
                  </m:r>
                </m:sub>
              </m:sSub>
              <m:r>
                <m:rPr>
                  <m:sty m:val="p"/>
                </m:rPr>
                <m:t>∣</m:t>
              </m:r>
              <m:sSub>
                <m:e>
                  <m:r>
                    <m:t>C</m:t>
                  </m:r>
                </m:e>
                <m:sub>
                  <m:r>
                    <m:t>p</m:t>
                  </m:r>
                  <m:r>
                    <m:t>h</m:t>
                  </m:r>
                  <m:r>
                    <m:t>y</m:t>
                  </m:r>
                  <m:r>
                    <m:t>s</m:t>
                  </m:r>
                  <m:r>
                    <m:t>i</m:t>
                  </m:r>
                  <m:r>
                    <m:t>c</m:t>
                  </m:r>
                  <m:r>
                    <m:t>a</m:t>
                  </m:r>
                  <m:r>
                    <m:t>l</m:t>
                  </m:r>
                </m:sub>
              </m:sSub>
            </m:e>
          </m:d>
          <m:r>
            <m:rPr>
              <m:sty m:val="p"/>
            </m:rPr>
            <m:t>=</m:t>
          </m:r>
          <m:sSub>
            <m:e>
              <m:r>
                <m:t>C</m:t>
              </m:r>
            </m:e>
            <m:sub>
              <m:r>
                <m:t>p</m:t>
              </m:r>
              <m:r>
                <m:t>h</m:t>
              </m:r>
              <m:r>
                <m:t>y</m:t>
              </m:r>
              <m:r>
                <m:t>s</m:t>
              </m:r>
              <m:r>
                <m:t>i</m:t>
              </m:r>
              <m:r>
                <m:t>c</m:t>
              </m:r>
              <m:r>
                <m:t>a</m:t>
              </m:r>
              <m:r>
                <m:t>l</m:t>
              </m:r>
            </m:sub>
          </m:sSub>
          <m:r>
            <m:rPr>
              <m:sty m:val="p"/>
            </m:rPr>
            <m:t>.</m:t>
          </m:r>
        </m:oMath>
      </m:oMathPara>
    </w:p>
    <w:p>
      <w:pPr>
        <w:pStyle w:val="FirstParagraph"/>
      </w:pPr>
      <w:r>
        <w:t xml:space="preserve">An optional extended model is</w:t>
      </w:r>
    </w:p>
    <w:p>
      <w:pPr>
        <w:pStyle w:val="BodyText"/>
      </w:pPr>
      <m:oMathPara>
        <m:oMathParaPr>
          <m:jc m:val="center"/>
        </m:oMathParaPr>
        <m:oMath>
          <m:r>
            <m:rPr>
              <m:sty m:val="p"/>
            </m:rPr>
            <m:t>log</m:t>
          </m:r>
          <m:sSub>
            <m:e>
              <m:r>
                <m:t>C</m:t>
              </m:r>
            </m:e>
            <m:sub>
              <m:r>
                <m:t>s</m:t>
              </m:r>
              <m:r>
                <m:t>e</m:t>
              </m:r>
              <m:r>
                <m:t>n</m:t>
              </m:r>
              <m:r>
                <m:t>s</m:t>
              </m:r>
              <m:r>
                <m:t>o</m:t>
              </m:r>
              <m:r>
                <m:t>r</m:t>
              </m:r>
              <m:r>
                <m:rPr>
                  <m:sty m:val="p"/>
                </m:rPr>
                <m:t>,</m:t>
              </m:r>
              <m:r>
                <m:t>r</m:t>
              </m:r>
              <m:r>
                <m:t>a</m:t>
              </m:r>
              <m:r>
                <m:t>w</m:t>
              </m:r>
            </m:sub>
          </m:sSub>
          <m:r>
            <m:rPr>
              <m:sty m:val="p"/>
            </m:rPr>
            <m:t>=</m:t>
          </m:r>
          <m:r>
            <m:rPr>
              <m:sty m:val="p"/>
            </m:rPr>
            <m:t>log</m:t>
          </m:r>
          <m:sSub>
            <m:e>
              <m:r>
                <m:t>C</m:t>
              </m:r>
            </m:e>
            <m:sub>
              <m:r>
                <m:t>p</m:t>
              </m:r>
              <m:r>
                <m:t>h</m:t>
              </m:r>
              <m:r>
                <m:t>y</m:t>
              </m:r>
              <m:r>
                <m:t>s</m:t>
              </m:r>
              <m:r>
                <m:t>i</m:t>
              </m:r>
              <m:r>
                <m:t>c</m:t>
              </m:r>
              <m:r>
                <m:t>a</m:t>
              </m:r>
              <m:r>
                <m:t>l</m:t>
              </m:r>
            </m:sub>
          </m:sSub>
          <m:r>
            <m:rPr>
              <m:sty m:val="p"/>
            </m:rPr>
            <m:t>+</m:t>
          </m:r>
          <m:sSub>
            <m:e>
              <m:r>
                <m:t>b</m:t>
              </m:r>
            </m:e>
            <m:sub>
              <m:r>
                <m:t>s</m:t>
              </m:r>
              <m:r>
                <m:t>e</m:t>
              </m:r>
              <m:r>
                <m:t>n</m:t>
              </m:r>
              <m:r>
                <m:t>s</m:t>
              </m:r>
              <m:r>
                <m:t>o</m:t>
              </m:r>
              <m:r>
                <m:t>r</m:t>
              </m:r>
            </m:sub>
          </m:sSub>
          <m:r>
            <m:rPr>
              <m:sty m:val="p"/>
            </m:rPr>
            <m:t>+</m:t>
          </m:r>
          <m:sSub>
            <m:e>
              <m:r>
                <m:t>d</m:t>
              </m:r>
            </m:e>
            <m:sub>
              <m:r>
                <m:t>t</m:t>
              </m:r>
            </m:sub>
          </m:sSub>
          <m:r>
            <m:rPr>
              <m:sty m:val="p"/>
            </m:rPr>
            <m:t>+</m:t>
          </m:r>
          <m:sSub>
            <m:e>
              <m:r>
                <m:t>ϵ</m:t>
              </m:r>
            </m:e>
            <m:sub>
              <m:r>
                <m:t>t</m:t>
              </m:r>
            </m:sub>
          </m:sSub>
          <m:r>
            <m:rPr>
              <m:sty m:val="p"/>
            </m:rPr>
            <m:t>−</m:t>
          </m:r>
          <m:f>
            <m:fPr>
              <m:type m:val="lin"/>
            </m:fPr>
            <m:num>
              <m:r>
                <m:t>1</m:t>
              </m:r>
            </m:num>
            <m:den>
              <m:r>
                <m:t>2</m:t>
              </m:r>
            </m:den>
          </m:f>
          <m:sSubSup>
            <m:e>
              <m:r>
                <m:t>σ</m:t>
              </m:r>
            </m:e>
            <m:sub>
              <m:r>
                <m:t>ϵ</m:t>
              </m:r>
            </m:sub>
            <m:sup>
              <m:r>
                <m:t>2</m:t>
              </m:r>
            </m:sup>
          </m:sSubSup>
          <m:r>
            <m:rPr>
              <m:sty m:val="p"/>
            </m:rPr>
            <m:t>,</m:t>
          </m:r>
        </m:oMath>
      </m:oMathPara>
    </w:p>
    <w:p>
      <w:pPr>
        <w:pStyle w:val="FirstParagraph"/>
      </w:pPr>
      <m:oMathPara>
        <m:oMathParaPr>
          <m:jc m:val="center"/>
        </m:oMathParaPr>
        <m:oMath>
          <m:sSub>
            <m:e>
              <m:r>
                <m:t>d</m:t>
              </m:r>
            </m:e>
            <m:sub>
              <m:r>
                <m:t>t</m:t>
              </m:r>
            </m:sub>
          </m:sSub>
          <m:r>
            <m:rPr>
              <m:sty m:val="p"/>
            </m:rPr>
            <m:t>=</m:t>
          </m:r>
          <m:sSub>
            <m:e>
              <m:r>
                <m:t>ρ</m:t>
              </m:r>
            </m:e>
            <m:sub>
              <m:r>
                <m:t>d</m:t>
              </m:r>
            </m:sub>
          </m:sSub>
          <m:sSub>
            <m:e>
              <m:r>
                <m:t>d</m:t>
              </m:r>
            </m:e>
            <m:sub>
              <m:r>
                <m:t>t</m:t>
              </m:r>
              <m:r>
                <m:rPr>
                  <m:sty m:val="p"/>
                </m:rPr>
                <m:t>−</m:t>
              </m:r>
              <m:r>
                <m:t>1</m:t>
              </m:r>
            </m:sub>
          </m:sSub>
          <m:r>
            <m:rPr>
              <m:sty m:val="p"/>
            </m:rPr>
            <m:t>+</m:t>
          </m:r>
          <m:sSub>
            <m:e>
              <m:r>
                <m:t>ν</m:t>
              </m:r>
            </m:e>
            <m:sub>
              <m:r>
                <m:t>t</m:t>
              </m:r>
            </m:sub>
          </m:sSub>
          <m:r>
            <m:rPr>
              <m:sty m:val="p"/>
            </m:rPr>
            <m:t>.</m:t>
          </m:r>
        </m:oMath>
      </m:oMathPara>
    </w:p>
    <w:p>
      <w:pPr>
        <w:pStyle w:val="FirstParagraph"/>
      </w:pPr>
      <w:r>
        <w:t xml:space="preserve">Bias, drift, calibration, missingness, quantization, and saturation are observation-layer properties and MUST NOT modify</w:t>
      </w:r>
      <w:r>
        <w:t xml:space="preserve"> </w:t>
      </w:r>
      <w:r>
        <w:rPr>
          <w:rStyle w:val="VerbatimChar"/>
        </w:rPr>
        <w:t xml:space="preserve">C_physical</w:t>
      </w:r>
      <w:r>
        <w:t xml:space="preserve">.</w:t>
      </w:r>
    </w:p>
    <w:p>
      <w:pPr>
        <w:pStyle w:val="BodyText"/>
      </w:pPr>
      <w:r>
        <w:t xml:space="preserve">When</w:t>
      </w:r>
      <w:r>
        <w:t xml:space="preserve"> </w:t>
      </w:r>
      <m:oMath>
        <m:sSub>
          <m:e>
            <m:r>
              <m:t>C</m:t>
            </m:r>
          </m:e>
          <m:sub>
            <m:r>
              <m:t>p</m:t>
            </m:r>
            <m:r>
              <m:t>h</m:t>
            </m:r>
            <m:r>
              <m:t>y</m:t>
            </m:r>
            <m:r>
              <m:t>s</m:t>
            </m:r>
            <m:r>
              <m:t>i</m:t>
            </m:r>
            <m:r>
              <m:t>c</m:t>
            </m:r>
            <m:r>
              <m:t>a</m:t>
            </m:r>
            <m:r>
              <m:t>l</m:t>
            </m:r>
          </m:sub>
        </m:sSub>
        <m:r>
          <m:rPr>
            <m:sty m:val="p"/>
          </m:rPr>
          <m:t>=</m:t>
        </m:r>
        <m:r>
          <m:t>0</m:t>
        </m:r>
      </m:oMath>
      <w:r>
        <w:t xml:space="preserve">, the default multiplicative observation is exactly zero. Such rows are excluded from log-ratio diagnostics and counted separately.</w:t>
      </w:r>
    </w:p>
    <w:bookmarkEnd w:id="63"/>
    <w:bookmarkStart w:id="64" w:name="environmental-noise"/>
    <w:p>
      <w:pPr>
        <w:pStyle w:val="Heading2"/>
      </w:pPr>
      <w:r>
        <w:t xml:space="preserve">6.16 Environmental noise</w:t>
      </w:r>
    </w:p>
    <w:p>
      <w:pPr>
        <w:pStyle w:val="FirstParagraph"/>
      </w:pPr>
      <w:r>
        <w:t xml:space="preserve">All sound combination is performed in energy space. Let the reference intensity be arbitrary but consistent,</w:t>
      </w:r>
      <w:r>
        <w:t xml:space="preserve"> </w:t>
      </w:r>
      <m:oMath>
        <m:sSub>
          <m:e>
            <m:r>
              <m:t>I</m:t>
            </m:r>
          </m:e>
          <m:sub>
            <m:r>
              <m:t>0</m:t>
            </m:r>
          </m:sub>
        </m:sSub>
        <m:r>
          <m:rPr>
            <m:sty m:val="p"/>
          </m:rPr>
          <m:t>=</m:t>
        </m:r>
        <m:r>
          <m:t>1</m:t>
        </m:r>
      </m:oMath>
      <w:r>
        <w:t xml:space="preserve">. For a level</w:t>
      </w:r>
      <w:r>
        <w:t xml:space="preserve"> </w:t>
      </w:r>
      <m:oMath>
        <m:r>
          <m:t>L</m:t>
        </m:r>
      </m:oMath>
      <w:r>
        <w:t xml:space="preserve">:</w:t>
      </w:r>
    </w:p>
    <w:p>
      <w:pPr>
        <w:pStyle w:val="BodyText"/>
      </w:pPr>
      <m:oMathPara>
        <m:oMathParaPr>
          <m:jc m:val="center"/>
        </m:oMathParaPr>
        <m:oMath>
          <m:r>
            <m:t>I</m:t>
          </m:r>
          <m:d>
            <m:dPr>
              <m:begChr m:val="("/>
              <m:endChr m:val=")"/>
              <m:sepChr m:val=""/>
              <m:grow/>
            </m:dPr>
            <m:e>
              <m:r>
                <m:t>L</m:t>
              </m:r>
            </m:e>
          </m:d>
          <m:r>
            <m:rPr>
              <m:sty m:val="p"/>
            </m:rPr>
            <m:t>=</m:t>
          </m:r>
          <m:sSup>
            <m:e>
              <m:r>
                <m:t>10</m:t>
              </m:r>
            </m:e>
            <m:sup>
              <m:r>
                <m:t>L</m:t>
              </m:r>
              <m:r>
                <m:rPr>
                  <m:sty m:val="p"/>
                </m:rPr>
                <m:t>/</m:t>
              </m:r>
              <m:r>
                <m:t>10</m:t>
              </m:r>
            </m:sup>
          </m:sSup>
          <m:r>
            <m:rPr>
              <m:sty m:val="p"/>
            </m:rPr>
            <m:t>.</m:t>
          </m:r>
        </m:oMath>
      </m:oMathPara>
    </w:p>
    <w:p>
      <w:pPr>
        <w:pStyle w:val="FirstParagraph"/>
      </w:pPr>
      <w:r>
        <w:t xml:space="preserve">Pedestrian source energy is</w:t>
      </w:r>
    </w:p>
    <w:p>
      <w:pPr>
        <w:pStyle w:val="BodyText"/>
      </w:pPr>
      <m:oMathPara>
        <m:oMathParaPr>
          <m:jc m:val="center"/>
        </m:oMathParaPr>
        <m:oMath>
          <m:sSub>
            <m:e>
              <m:r>
                <m:t>I</m:t>
              </m:r>
            </m:e>
            <m:sub>
              <m:r>
                <m:t>p</m:t>
              </m:r>
              <m:r>
                <m:t>e</m:t>
              </m:r>
              <m:r>
                <m:t>d</m:t>
              </m:r>
            </m:sub>
          </m:sSub>
          <m:d>
            <m:dPr>
              <m:begChr m:val="("/>
              <m:endChr m:val=")"/>
              <m:sepChr m:val=""/>
              <m:grow/>
            </m:dPr>
            <m:e>
              <m:r>
                <m:t>N</m:t>
              </m:r>
            </m:e>
          </m:d>
          <m:r>
            <m:rPr>
              <m:sty m:val="p"/>
            </m:rPr>
            <m:t>=</m:t>
          </m:r>
          <m:d>
            <m:dPr>
              <m:begChr m:val="{"/>
              <m:endChr m:val=""/>
              <m:sepChr m:val=""/>
              <m:grow/>
            </m:dPr>
            <m:e>
              <m:m>
                <m:mPr>
                  <m:baseJc m:val="center"/>
                  <m:plcHide m:val="on"/>
                  <m:mcs>
                    <m:mc>
                      <m:mcPr>
                        <m:mcJc m:val="left"/>
                        <m:count m:val="1"/>
                      </m:mcPr>
                    </m:mc>
                    <m:mc>
                      <m:mcPr>
                        <m:mcJc m:val="left"/>
                        <m:count m:val="1"/>
                      </m:mcPr>
                    </m:mc>
                  </m:mcs>
                </m:mPr>
                <m:mr>
                  <m:e>
                    <m:r>
                      <m:t>0</m:t>
                    </m:r>
                    <m:r>
                      <m:rPr>
                        <m:sty m:val="p"/>
                      </m:rPr>
                      <m:t>,</m:t>
                    </m:r>
                  </m:e>
                  <m:e>
                    <m:r>
                      <m:t>N</m:t>
                    </m:r>
                    <m:r>
                      <m:rPr>
                        <m:sty m:val="p"/>
                      </m:rPr>
                      <m:t>=</m:t>
                    </m:r>
                    <m:r>
                      <m:t>0</m:t>
                    </m:r>
                    <m:r>
                      <m:rPr>
                        <m:sty m:val="p"/>
                      </m:rPr>
                      <m:t>,</m:t>
                    </m:r>
                  </m:e>
                </m:mr>
                <m:mr>
                  <m:e>
                    <m:sSub>
                      <m:e>
                        <m:r>
                          <m:t>I</m:t>
                        </m:r>
                      </m:e>
                      <m:sub>
                        <m:r>
                          <m:t>p</m:t>
                        </m:r>
                        <m:r>
                          <m:t>e</m:t>
                        </m:r>
                        <m:r>
                          <m:t>d</m:t>
                        </m:r>
                        <m:r>
                          <m:rPr>
                            <m:sty m:val="p"/>
                          </m:rPr>
                          <m:t>,</m:t>
                        </m:r>
                        <m:r>
                          <m:t>r</m:t>
                        </m:r>
                        <m:r>
                          <m:t>e</m:t>
                        </m:r>
                        <m:r>
                          <m:t>f</m:t>
                        </m:r>
                      </m:sub>
                    </m:sSub>
                    <m:r>
                      <m:t>N</m:t>
                    </m:r>
                    <m:r>
                      <m:rPr>
                        <m:sty m:val="p"/>
                      </m:rPr>
                      <m:t>/</m:t>
                    </m:r>
                    <m:sSub>
                      <m:e>
                        <m:r>
                          <m:t>N</m:t>
                        </m:r>
                      </m:e>
                      <m:sub>
                        <m:r>
                          <m:t>r</m:t>
                        </m:r>
                        <m:r>
                          <m:t>e</m:t>
                        </m:r>
                        <m:r>
                          <m:t>f</m:t>
                        </m:r>
                      </m:sub>
                    </m:sSub>
                    <m:r>
                      <m:rPr>
                        <m:sty m:val="p"/>
                      </m:rPr>
                      <m:t>,</m:t>
                    </m:r>
                  </m:e>
                  <m:e>
                    <m:r>
                      <m:t>N</m:t>
                    </m:r>
                    <m:r>
                      <m:rPr>
                        <m:sty m:val="p"/>
                      </m:rPr>
                      <m:t>&gt;</m:t>
                    </m:r>
                    <m:r>
                      <m:t>0</m:t>
                    </m:r>
                    <m:r>
                      <m:rPr>
                        <m:sty m:val="p"/>
                      </m:rPr>
                      <m:t>.</m:t>
                    </m:r>
                  </m:e>
                </m:mr>
              </m:m>
            </m:e>
          </m:d>
        </m:oMath>
      </m:oMathPara>
    </w:p>
    <w:p>
      <w:pPr>
        <w:pStyle w:val="FirstParagraph"/>
      </w:pPr>
      <w:r>
        <w:t xml:space="preserve">Traffic source energy is</w:t>
      </w:r>
    </w:p>
    <w:p>
      <w:pPr>
        <w:pStyle w:val="BodyText"/>
      </w:pPr>
      <m:oMathPara>
        <m:oMathParaPr>
          <m:jc m:val="center"/>
        </m:oMathParaPr>
        <m:oMath>
          <m:sSub>
            <m:e>
              <m:r>
                <m:t>I</m:t>
              </m:r>
            </m:e>
            <m:sub>
              <m:r>
                <m:t>t</m:t>
              </m:r>
              <m:r>
                <m:t>r</m:t>
              </m:r>
              <m:r>
                <m:t>a</m:t>
              </m:r>
              <m:r>
                <m:t>f</m:t>
              </m:r>
              <m:r>
                <m:t>f</m:t>
              </m:r>
              <m:r>
                <m:t>i</m:t>
              </m:r>
              <m:r>
                <m:t>c</m:t>
              </m:r>
            </m:sub>
          </m:sSub>
          <m:d>
            <m:dPr>
              <m:begChr m:val="("/>
              <m:endChr m:val=")"/>
              <m:sepChr m:val=""/>
              <m:grow/>
            </m:dPr>
            <m:e>
              <m:r>
                <m:t>q</m:t>
              </m:r>
            </m:e>
          </m:d>
          <m:r>
            <m:rPr>
              <m:sty m:val="p"/>
            </m:rPr>
            <m:t>=</m:t>
          </m:r>
          <m:d>
            <m:dPr>
              <m:begChr m:val="{"/>
              <m:endChr m:val=""/>
              <m:sepChr m:val=""/>
              <m:grow/>
            </m:dPr>
            <m:e>
              <m:m>
                <m:mPr>
                  <m:baseJc m:val="center"/>
                  <m:plcHide m:val="on"/>
                  <m:mcs>
                    <m:mc>
                      <m:mcPr>
                        <m:mcJc m:val="left"/>
                        <m:count m:val="1"/>
                      </m:mcPr>
                    </m:mc>
                    <m:mc>
                      <m:mcPr>
                        <m:mcJc m:val="left"/>
                        <m:count m:val="1"/>
                      </m:mcPr>
                    </m:mc>
                  </m:mcs>
                </m:mPr>
                <m:mr>
                  <m:e>
                    <m:r>
                      <m:t>0</m:t>
                    </m:r>
                    <m:r>
                      <m:rPr>
                        <m:sty m:val="p"/>
                      </m:rPr>
                      <m:t>,</m:t>
                    </m:r>
                  </m:e>
                  <m:e>
                    <m:r>
                      <m:t>q</m:t>
                    </m:r>
                    <m:r>
                      <m:rPr>
                        <m:sty m:val="p"/>
                      </m:rPr>
                      <m:t>=</m:t>
                    </m:r>
                    <m:r>
                      <m:t>0</m:t>
                    </m:r>
                    <m:r>
                      <m:rPr>
                        <m:sty m:val="p"/>
                      </m:rPr>
                      <m:t>,</m:t>
                    </m:r>
                  </m:e>
                </m:mr>
                <m:mr>
                  <m:e>
                    <m:sSub>
                      <m:e>
                        <m:r>
                          <m:t>I</m:t>
                        </m:r>
                      </m:e>
                      <m:sub>
                        <m:r>
                          <m:t>t</m:t>
                        </m:r>
                        <m:r>
                          <m:t>r</m:t>
                        </m:r>
                        <m:r>
                          <m:t>a</m:t>
                        </m:r>
                        <m:r>
                          <m:t>f</m:t>
                        </m:r>
                        <m:r>
                          <m:t>f</m:t>
                        </m:r>
                        <m:r>
                          <m:t>i</m:t>
                        </m:r>
                        <m:r>
                          <m:t>c</m:t>
                        </m:r>
                        <m:r>
                          <m:rPr>
                            <m:sty m:val="p"/>
                          </m:rPr>
                          <m:t>,</m:t>
                        </m:r>
                        <m:r>
                          <m:t>r</m:t>
                        </m:r>
                        <m:r>
                          <m:t>e</m:t>
                        </m:r>
                        <m:r>
                          <m:t>f</m:t>
                        </m:r>
                      </m:sub>
                    </m:sSub>
                    <m:r>
                      <m:t>q</m:t>
                    </m:r>
                    <m:r>
                      <m:rPr>
                        <m:sty m:val="p"/>
                      </m:rPr>
                      <m:t>/</m:t>
                    </m:r>
                    <m:sSub>
                      <m:e>
                        <m:r>
                          <m:t>q</m:t>
                        </m:r>
                      </m:e>
                      <m:sub>
                        <m:r>
                          <m:t>r</m:t>
                        </m:r>
                        <m:r>
                          <m:t>e</m:t>
                        </m:r>
                        <m:r>
                          <m:t>f</m:t>
                        </m:r>
                      </m:sub>
                    </m:sSub>
                    <m:r>
                      <m:rPr>
                        <m:sty m:val="p"/>
                      </m:rPr>
                      <m:t>,</m:t>
                    </m:r>
                  </m:e>
                  <m:e>
                    <m:r>
                      <m:t>q</m:t>
                    </m:r>
                    <m:r>
                      <m:rPr>
                        <m:sty m:val="p"/>
                      </m:rPr>
                      <m:t>&gt;</m:t>
                    </m:r>
                    <m:r>
                      <m:t>0</m:t>
                    </m:r>
                    <m:r>
                      <m:rPr>
                        <m:sty m:val="p"/>
                      </m:rPr>
                      <m:t>.</m:t>
                    </m:r>
                  </m:e>
                </m:mr>
              </m:m>
            </m:e>
          </m:d>
        </m:oMath>
      </m:oMathPara>
    </w:p>
    <w:p>
      <w:pPr>
        <w:pStyle w:val="FirstParagraph"/>
      </w:pPr>
      <w:r>
        <w:t xml:space="preserve">The instantaneous total energy is</w:t>
      </w:r>
    </w:p>
    <w:p>
      <w:pPr>
        <w:pStyle w:val="BodyText"/>
      </w:pPr>
      <m:oMathPara>
        <m:oMathParaPr>
          <m:jc m:val="center"/>
        </m:oMathParaPr>
        <m:oMath>
          <m:sSub>
            <m:e>
              <m:r>
                <m:t>I</m:t>
              </m:r>
            </m:e>
            <m:sub>
              <m:r>
                <m:t>t</m:t>
              </m:r>
              <m:r>
                <m:t>o</m:t>
              </m:r>
              <m:r>
                <m:t>t</m:t>
              </m:r>
              <m:r>
                <m:t>a</m:t>
              </m:r>
              <m:r>
                <m:t>l</m:t>
              </m:r>
            </m:sub>
          </m:sSub>
          <m:r>
            <m:rPr>
              <m:sty m:val="p"/>
            </m:rPr>
            <m:t>=</m:t>
          </m:r>
          <m:sSub>
            <m:e>
              <m:r>
                <m:t>I</m:t>
              </m:r>
            </m:e>
            <m:sub>
              <m:r>
                <m:t>b</m:t>
              </m:r>
              <m:r>
                <m:t>g</m:t>
              </m:r>
            </m:sub>
          </m:sSub>
          <m:r>
            <m:rPr>
              <m:sty m:val="p"/>
            </m:rPr>
            <m:t>+</m:t>
          </m:r>
          <m:sSub>
            <m:e>
              <m:r>
                <m:t>I</m:t>
              </m:r>
            </m:e>
            <m:sub>
              <m:r>
                <m:t>t</m:t>
              </m:r>
              <m:r>
                <m:t>r</m:t>
              </m:r>
              <m:r>
                <m:t>a</m:t>
              </m:r>
              <m:r>
                <m:t>f</m:t>
              </m:r>
              <m:r>
                <m:t>f</m:t>
              </m:r>
              <m:r>
                <m:t>i</m:t>
              </m:r>
              <m:r>
                <m:t>c</m:t>
              </m:r>
            </m:sub>
          </m:sSub>
          <m:r>
            <m:rPr>
              <m:sty m:val="p"/>
            </m:rPr>
            <m:t>+</m:t>
          </m:r>
          <m:sSub>
            <m:e>
              <m:r>
                <m:t>I</m:t>
              </m:r>
            </m:e>
            <m:sub>
              <m:r>
                <m:t>p</m:t>
              </m:r>
              <m:r>
                <m:t>e</m:t>
              </m:r>
              <m:r>
                <m:t>d</m:t>
              </m:r>
            </m:sub>
          </m:sSub>
          <m:r>
            <m:rPr>
              <m:sty m:val="p"/>
            </m:rPr>
            <m:t>.</m:t>
          </m:r>
        </m:oMath>
      </m:oMathPara>
    </w:p>
    <w:p>
      <w:pPr>
        <w:pStyle w:val="FirstParagraph"/>
      </w:pPr>
      <w:r>
        <w:t xml:space="preserve">An AR(1) residual in dB may be applied multiplicatively in energy:</w:t>
      </w:r>
    </w:p>
    <w:p>
      <w:pPr>
        <w:pStyle w:val="BodyText"/>
      </w:pPr>
      <m:oMathPara>
        <m:oMathParaPr>
          <m:jc m:val="center"/>
        </m:oMathParaPr>
        <m:oMath>
          <m:sSub>
            <m:e>
              <m:r>
                <m:t>I</m:t>
              </m:r>
            </m:e>
            <m:sub>
              <m:r>
                <m:t>n</m:t>
              </m:r>
              <m:r>
                <m:t>o</m:t>
              </m:r>
              <m:r>
                <m:t>i</m:t>
              </m:r>
              <m:r>
                <m:t>s</m:t>
              </m:r>
              <m:r>
                <m:t>y</m:t>
              </m:r>
            </m:sub>
          </m:sSub>
          <m:r>
            <m:rPr>
              <m:sty m:val="p"/>
            </m:rPr>
            <m:t>=</m:t>
          </m:r>
          <m:sSub>
            <m:e>
              <m:r>
                <m:t>I</m:t>
              </m:r>
            </m:e>
            <m:sub>
              <m:r>
                <m:t>t</m:t>
              </m:r>
              <m:r>
                <m:t>o</m:t>
              </m:r>
              <m:r>
                <m:t>t</m:t>
              </m:r>
              <m:r>
                <m:t>a</m:t>
              </m:r>
              <m:r>
                <m:t>l</m:t>
              </m:r>
            </m:sub>
          </m:sSub>
          <m:sSup>
            <m:e>
              <m:r>
                <m:t>10</m:t>
              </m:r>
            </m:e>
            <m:sup>
              <m:sSub>
                <m:e>
                  <m:r>
                    <m:t>ϵ</m:t>
                  </m:r>
                </m:e>
                <m:sub>
                  <m:r>
                    <m:t>d</m:t>
                  </m:r>
                  <m:r>
                    <m:t>B</m:t>
                  </m:r>
                </m:sub>
              </m:sSub>
              <m:r>
                <m:rPr>
                  <m:sty m:val="p"/>
                </m:rPr>
                <m:t>/</m:t>
              </m:r>
              <m:r>
                <m:t>10</m:t>
              </m:r>
            </m:sup>
          </m:sSup>
          <m:r>
            <m:rPr>
              <m:sty m:val="p"/>
            </m:rPr>
            <m:t>.</m:t>
          </m:r>
        </m:oMath>
      </m:oMathPara>
    </w:p>
    <w:p>
      <w:pPr>
        <w:pStyle w:val="FirstParagraph"/>
      </w:pPr>
      <w:r>
        <w:t xml:space="preserve">For assessment window</w:t>
      </w:r>
      <w:r>
        <w:t xml:space="preserve"> </w:t>
      </w:r>
      <m:oMath>
        <m:r>
          <m:t>T</m:t>
        </m:r>
      </m:oMath>
      <w:r>
        <w:t xml:space="preserve">:</w:t>
      </w:r>
    </w:p>
    <w:p>
      <w:pPr>
        <w:pStyle w:val="BodyText"/>
      </w:pPr>
      <m:oMathPara>
        <m:oMathParaPr>
          <m:jc m:val="center"/>
        </m:oMathParaPr>
        <m:oMath>
          <m:sSub>
            <m:e>
              <m:r>
                <m:t>L</m:t>
              </m:r>
            </m:e>
            <m:sub>
              <m:r>
                <m:t>A</m:t>
              </m:r>
              <m:r>
                <m:t>e</m:t>
              </m:r>
              <m:r>
                <m:t>q</m:t>
              </m:r>
              <m:r>
                <m:rPr>
                  <m:sty m:val="p"/>
                </m:rPr>
                <m:t>,</m:t>
              </m:r>
              <m:r>
                <m:t>T</m:t>
              </m:r>
            </m:sub>
          </m:sSub>
          <m:r>
            <m:rPr>
              <m:sty m:val="p"/>
            </m:rPr>
            <m:t>=</m:t>
          </m:r>
          <m:r>
            <m:t>10</m:t>
          </m:r>
          <m:sSub>
            <m:e>
              <m:r>
                <m:rPr>
                  <m:sty m:val="p"/>
                </m:rPr>
                <m:t>log</m:t>
              </m:r>
            </m:e>
            <m:sub>
              <m:r>
                <m:t>10</m:t>
              </m:r>
            </m:sub>
          </m:sSub>
          <m:d>
            <m:dPr>
              <m:begChr m:val="("/>
              <m:endChr m:val=")"/>
              <m:sepChr m:val=""/>
              <m:grow/>
            </m:dPr>
            <m:e>
              <m:f>
                <m:fPr>
                  <m:type m:val="bar"/>
                </m:fPr>
                <m:num>
                  <m:r>
                    <m:t>1</m:t>
                  </m:r>
                </m:num>
                <m:den>
                  <m:r>
                    <m:t>T</m:t>
                  </m:r>
                </m:den>
              </m:f>
              <m:nary>
                <m:naryPr>
                  <m:chr m:val="∫"/>
                  <m:limLoc m:val="subSup"/>
                  <m:subHide m:val="off"/>
                  <m:supHide m:val="off"/>
                </m:naryPr>
                <m:sub>
                  <m:r>
                    <m:t>t</m:t>
                  </m:r>
                  <m:r>
                    <m:rPr>
                      <m:sty m:val="p"/>
                    </m:rPr>
                    <m:t>−</m:t>
                  </m:r>
                  <m:r>
                    <m:t>T</m:t>
                  </m:r>
                </m:sub>
                <m:sup>
                  <m:r>
                    <m:t>t</m:t>
                  </m:r>
                </m:sup>
                <m:e>
                  <m:sSub>
                    <m:e>
                      <m:r>
                        <m:t>I</m:t>
                      </m:r>
                    </m:e>
                    <m:sub>
                      <m:r>
                        <m:t>n</m:t>
                      </m:r>
                      <m:r>
                        <m:t>o</m:t>
                      </m:r>
                      <m:r>
                        <m:t>i</m:t>
                      </m:r>
                      <m:r>
                        <m:t>s</m:t>
                      </m:r>
                      <m:r>
                        <m:t>y</m:t>
                      </m:r>
                    </m:sub>
                  </m:sSub>
                </m:e>
              </m:nary>
              <m:d>
                <m:dPr>
                  <m:begChr m:val="("/>
                  <m:endChr m:val=")"/>
                  <m:sepChr m:val=""/>
                  <m:grow/>
                </m:dPr>
                <m:e>
                  <m:r>
                    <m:t>s</m:t>
                  </m:r>
                </m:e>
              </m:d>
              <m:r>
                <m:t> </m:t>
              </m:r>
              <m:r>
                <m:t>d</m:t>
              </m:r>
              <m:r>
                <m:t>s</m:t>
              </m:r>
            </m:e>
          </m:d>
          <m:r>
            <m:rPr>
              <m:sty m:val="p"/>
            </m:rPr>
            <m:t>.</m:t>
          </m:r>
        </m:oMath>
      </m:oMathPara>
    </w:p>
    <w:p>
      <w:pPr>
        <w:pStyle w:val="FirstParagraph"/>
      </w:pPr>
      <w:r>
        <w:t xml:space="preserve">For the window integral,</w:t>
      </w:r>
      <w:r>
        <w:t xml:space="preserve"> </w:t>
      </w:r>
      <m:oMath>
        <m:sSub>
          <m:e>
            <m:r>
              <m:t>I</m:t>
            </m:r>
          </m:e>
          <m:sub>
            <m:r>
              <m:t>n</m:t>
            </m:r>
            <m:r>
              <m:t>o</m:t>
            </m:r>
            <m:r>
              <m:t>i</m:t>
            </m:r>
            <m:r>
              <m:t>s</m:t>
            </m:r>
            <m:r>
              <m:t>y</m:t>
            </m:r>
          </m:sub>
        </m:sSub>
      </m:oMath>
      <w:r>
        <w:t xml:space="preserve"> </w:t>
      </w:r>
      <w:r>
        <w:t xml:space="preserve">is evaluated from the row state (sampled per Section 3.3) and treated as constant across that row interval. The implementation SHALL use exact overlap weighting when the window is not an integer multiple of the simulation step. A result is</w:t>
      </w:r>
      <w:r>
        <w:t xml:space="preserve"> </w:t>
      </w:r>
      <w:r>
        <w:rPr>
          <w:rStyle w:val="VerbatimChar"/>
        </w:rPr>
        <w:t xml:space="preserve">unavailable</w:t>
      </w:r>
      <w:r>
        <w:t xml:space="preserve"> </w:t>
      </w:r>
      <w:r>
        <w:t xml:space="preserve">until a complete window exists, unless hidden warm-up supplies the missing history.</w:t>
      </w:r>
    </w:p>
    <w:bookmarkEnd w:id="64"/>
    <w:bookmarkEnd w:id="65"/>
    <w:bookmarkStart w:id="70" w:name="thermal-indices"/>
    <w:p>
      <w:pPr>
        <w:pStyle w:val="Heading1"/>
      </w:pPr>
      <w:r>
        <w:t xml:space="preserve">7. Thermal indices</w:t>
      </w:r>
    </w:p>
    <w:bookmarkStart w:id="66" w:name="utci-input-contract"/>
    <w:p>
      <w:pPr>
        <w:pStyle w:val="Heading2"/>
      </w:pPr>
      <w:r>
        <w:t xml:space="preserve">7.1 UTCI input contract</w:t>
      </w:r>
    </w:p>
    <w:p>
      <w:pPr>
        <w:pStyle w:val="FirstParagraph"/>
      </w:pPr>
      <w:r>
        <w:t xml:space="preserve">Thermal indices are computed once per interval at pipeline stage 7 (Section 3.2) and consumed unchanged by both the arrival-deterrence factor (Section 6.9) and the risk layer (Section 8). The primary outdoor index is UTCI. Inputs are:</w:t>
      </w:r>
    </w:p>
    <w:p>
      <w:pPr>
        <w:numPr>
          <w:ilvl w:val="0"/>
          <w:numId w:val="1016"/>
        </w:numPr>
        <w:pStyle w:val="Compact"/>
      </w:pPr>
      <m:oMath>
        <m:sSub>
          <m:e>
            <m:r>
              <m:t>T</m:t>
            </m:r>
          </m:e>
          <m:sub>
            <m:r>
              <m:t>a</m:t>
            </m:r>
          </m:sub>
        </m:sSub>
      </m:oMath>
      <w:r>
        <w:t xml:space="preserve">, degree Celsius;</w:t>
      </w:r>
    </w:p>
    <w:p>
      <w:pPr>
        <w:numPr>
          <w:ilvl w:val="0"/>
          <w:numId w:val="1016"/>
        </w:numPr>
        <w:pStyle w:val="Compact"/>
      </w:pPr>
      <m:oMath>
        <m:sSub>
          <m:e>
            <m:r>
              <m:t>T</m:t>
            </m:r>
          </m:e>
          <m:sub>
            <m:r>
              <m:t>m</m:t>
            </m:r>
            <m:r>
              <m:t>r</m:t>
            </m:r>
            <m:r>
              <m:t>t</m:t>
            </m:r>
          </m:sub>
        </m:sSub>
      </m:oMath>
      <w:r>
        <w:t xml:space="preserve">, degree Celsius;</w:t>
      </w:r>
    </w:p>
    <w:p>
      <w:pPr>
        <w:numPr>
          <w:ilvl w:val="0"/>
          <w:numId w:val="1016"/>
        </w:numPr>
        <w:pStyle w:val="Compact"/>
      </w:pPr>
      <w:r>
        <w:t xml:space="preserve">10 m wind</w:t>
      </w:r>
      <w:r>
        <w:t xml:space="preserve"> </w:t>
      </w:r>
      <m:oMath>
        <m:sSub>
          <m:e>
            <m:r>
              <m:t>v</m:t>
            </m:r>
          </m:e>
          <m:sub>
            <m:r>
              <m:t>10</m:t>
            </m:r>
          </m:sub>
        </m:sSub>
      </m:oMath>
      <w:r>
        <w:t xml:space="preserve">, m/s;</w:t>
      </w:r>
    </w:p>
    <w:p>
      <w:pPr>
        <w:numPr>
          <w:ilvl w:val="0"/>
          <w:numId w:val="1016"/>
        </w:numPr>
        <w:pStyle w:val="Compact"/>
      </w:pPr>
      <w:r>
        <w:t xml:space="preserve">vapour pressure passed to the polynomial in kPa.</w:t>
      </w:r>
    </w:p>
    <w:p>
      <w:pPr>
        <w:pStyle w:val="FirstParagraph"/>
      </w:pPr>
      <w:r>
        <w:t xml:space="preserve">The required pressure conversion is</w:t>
      </w:r>
    </w:p>
    <w:p>
      <w:pPr>
        <w:pStyle w:val="BodyText"/>
      </w:pPr>
      <m:oMathPara>
        <m:oMathParaPr>
          <m:jc m:val="center"/>
        </m:oMathParaPr>
        <m:oMath>
          <m:sSub>
            <m:e>
              <m:r>
                <m:t>p</m:t>
              </m:r>
            </m:e>
            <m:sub>
              <m:r>
                <m:t>a</m:t>
              </m:r>
            </m:sub>
          </m:sSub>
          <m:d>
            <m:dPr>
              <m:begChr m:val="["/>
              <m:endChr m:val="]"/>
              <m:sepChr m:val=""/>
              <m:grow/>
            </m:dPr>
            <m:e>
              <m:r>
                <m:rPr>
                  <m:sty m:val="p"/>
                </m:rPr>
                <m:t>k</m:t>
              </m:r>
              <m:r>
                <m:rPr>
                  <m:sty m:val="p"/>
                </m:rPr>
                <m:t>P</m:t>
              </m:r>
              <m:r>
                <m:rPr>
                  <m:sty m:val="p"/>
                </m:rPr>
                <m:t>a</m:t>
              </m:r>
            </m:e>
          </m:d>
          <m:r>
            <m:rPr>
              <m:sty m:val="p"/>
            </m:rPr>
            <m:t>=</m:t>
          </m:r>
          <m:r>
            <m:t>e</m:t>
          </m:r>
          <m:d>
            <m:dPr>
              <m:begChr m:val="["/>
              <m:endChr m:val="]"/>
              <m:sepChr m:val=""/>
              <m:grow/>
            </m:dPr>
            <m:e>
              <m:r>
                <m:rPr>
                  <m:sty m:val="p"/>
                </m:rPr>
                <m:t>P</m:t>
              </m:r>
              <m:r>
                <m:rPr>
                  <m:sty m:val="p"/>
                </m:rPr>
                <m:t>a</m:t>
              </m:r>
            </m:e>
          </m:d>
          <m:r>
            <m:rPr>
              <m:sty m:val="p"/>
            </m:rPr>
            <m:t>/</m:t>
          </m:r>
          <m:r>
            <m:t>1000</m:t>
          </m:r>
          <m:r>
            <m:rPr>
              <m:sty m:val="p"/>
            </m:rPr>
            <m:t>.</m:t>
          </m:r>
        </m:oMath>
      </m:oMathPara>
    </w:p>
    <w:p>
      <w:pPr>
        <w:pStyle w:val="FirstParagraph"/>
      </w:pPr>
      <w:r>
        <w:t xml:space="preserve">The operational polynomial module MUST be versioned and must pass published test vectors. The polynomial has more than two hundred coefficients and is deliberately not reproduced in this document: the implementation SHALL bundle the canonical coefficient table as a data file whose SHA-256 is recorded in the manifest, and SHALL generate</w:t>
      </w:r>
      <w:r>
        <w:t xml:space="preserve"> </w:t>
      </w:r>
      <w:r>
        <w:rPr>
          <w:rStyle w:val="VerbatimChar"/>
        </w:rPr>
        <w:t xml:space="preserve">utci_kat.json</w:t>
      </w:r>
      <w:r>
        <w:t xml:space="preserve"> </w:t>
      </w:r>
      <w:r>
        <w:t xml:space="preserve">from that bundled canonical implementation at build time; Section 10.3 verifies both. The accepted domain for</w:t>
      </w:r>
      <w:r>
        <w:t xml:space="preserve"> </w:t>
      </w:r>
      <w:r>
        <w:rPr>
          <w:rStyle w:val="VerbatimChar"/>
        </w:rPr>
        <w:t xml:space="preserve">utci_approx_v1</w:t>
      </w:r>
      <w:r>
        <w:t xml:space="preserve"> </w:t>
      </w:r>
      <w:r>
        <w:t xml:space="preserve">is:</w:t>
      </w:r>
    </w:p>
    <w:tbl>
      <w:tblPr>
        <w:tblStyle w:val="Table"/>
        <w:tblW w:type="auto" w:w="0"/>
        <w:tblLook w:firstRow="1" w:lastRow="0" w:firstColumn="0" w:lastColumn="0" w:noHBand="0" w:noVBand="0" w:val="0020"/>
        <w:jc w:val="start"/>
      </w:tblPr>
      <w:tblGrid>
        <w:gridCol w:w="3960"/>
        <w:gridCol w:w="3960"/>
      </w:tblGrid>
      <w:tr>
        <w:trPr>
          <w:tblHeader w:val="true"/>
        </w:trPr>
        <w:tc>
          <w:tcPr/>
          <w:p>
            <w:pPr>
              <w:pStyle w:val="Compact"/>
              <w:jc w:val="left"/>
            </w:pPr>
            <w:r>
              <w:t xml:space="preserve">Input</w:t>
            </w:r>
          </w:p>
        </w:tc>
        <w:tc>
          <w:tcPr/>
          <w:p>
            <w:pPr>
              <w:pStyle w:val="Compact"/>
              <w:jc w:val="left"/>
            </w:pPr>
            <w:r>
              <w:t xml:space="preserve">Domain</w:t>
            </w:r>
          </w:p>
        </w:tc>
      </w:tr>
      <w:tr>
        <w:tc>
          <w:tcPr/>
          <w:p>
            <w:pPr>
              <w:pStyle w:val="Compact"/>
              <w:jc w:val="left"/>
            </w:pPr>
            <w:r>
              <w:t xml:space="preserve">T_a</w:t>
            </w:r>
          </w:p>
        </w:tc>
        <w:tc>
          <w:tcPr/>
          <w:p>
            <w:pPr>
              <w:pStyle w:val="Compact"/>
              <w:jc w:val="left"/>
            </w:pPr>
            <w:r>
              <w:t xml:space="preserve">-50 to +50 degree Celsius</w:t>
            </w:r>
          </w:p>
        </w:tc>
      </w:tr>
      <w:tr>
        <w:tc>
          <w:tcPr/>
          <w:p>
            <w:pPr>
              <w:pStyle w:val="Compact"/>
              <w:jc w:val="left"/>
            </w:pPr>
            <w:r>
              <w:t xml:space="preserve">v_10</w:t>
            </w:r>
          </w:p>
        </w:tc>
        <w:tc>
          <w:tcPr/>
          <w:p>
            <w:pPr>
              <w:pStyle w:val="Compact"/>
              <w:jc w:val="left"/>
            </w:pPr>
            <w:r>
              <w:t xml:space="preserve">0.5 to 17 m/s</w:t>
            </w:r>
          </w:p>
        </w:tc>
      </w:tr>
      <w:tr>
        <w:tc>
          <w:tcPr/>
          <w:p>
            <w:pPr>
              <w:pStyle w:val="Compact"/>
              <w:jc w:val="left"/>
            </w:pPr>
            <w:r>
              <w:t xml:space="preserve">T_mrt minus T_a</w:t>
            </w:r>
          </w:p>
        </w:tc>
        <w:tc>
          <w:tcPr/>
          <w:p>
            <w:pPr>
              <w:pStyle w:val="Compact"/>
              <w:jc w:val="left"/>
            </w:pPr>
            <w:r>
              <w:t xml:space="preserve">-30 to +70 K</w:t>
            </w:r>
          </w:p>
        </w:tc>
      </w:tr>
      <w:tr>
        <w:tc>
          <w:tcPr/>
          <w:p>
            <w:pPr>
              <w:pStyle w:val="Compact"/>
              <w:jc w:val="left"/>
            </w:pPr>
            <w:r>
              <w:t xml:space="preserve">p_a</w:t>
            </w:r>
          </w:p>
        </w:tc>
        <w:tc>
          <w:tcPr/>
          <w:p>
            <w:pPr>
              <w:pStyle w:val="Compact"/>
              <w:jc w:val="left"/>
            </w:pPr>
            <w:r>
              <w:t xml:space="preserve">0 to 5 kPa</w:t>
            </w:r>
          </w:p>
        </w:tc>
      </w:tr>
    </w:tbl>
    <w:p>
      <w:pPr>
        <w:pStyle w:val="BodyText"/>
      </w:pPr>
      <w:r>
        <w:t xml:space="preserve">The default policy is</w:t>
      </w:r>
      <w:r>
        <w:t xml:space="preserve"> </w:t>
      </w:r>
      <w:r>
        <w:rPr>
          <w:rStyle w:val="VerbatimChar"/>
        </w:rPr>
        <w:t xml:space="preserve">clamp_and_flag</w:t>
      </w:r>
      <w:r>
        <w:t xml:space="preserve">. Original and clamped inputs MUST both be recoverable in validation metadata, and the CSV emits</w:t>
      </w:r>
      <w:r>
        <w:t xml:space="preserve"> </w:t>
      </w:r>
      <w:r>
        <w:rPr>
          <w:rStyle w:val="VerbatimChar"/>
        </w:rPr>
        <w:t xml:space="preserve">utci_input_clamped</w:t>
      </w:r>
      <w:r>
        <w:t xml:space="preserve">.</w:t>
      </w:r>
    </w:p>
    <w:bookmarkEnd w:id="66"/>
    <w:bookmarkStart w:id="67" w:name="utci-scientific-categories"/>
    <w:p>
      <w:pPr>
        <w:pStyle w:val="Heading2"/>
      </w:pPr>
      <w:r>
        <w:t xml:space="preserve">7.2 UTCI scientific categories</w:t>
      </w:r>
    </w:p>
    <w:p>
      <w:pPr>
        <w:pStyle w:val="FirstParagraph"/>
      </w:pPr>
      <w:r>
        <w:t xml:space="preserve">Intervals are half-open, eliminating boundary ambiguity:</w:t>
      </w:r>
    </w:p>
    <w:tbl>
      <w:tblPr>
        <w:tblStyle w:val="Table"/>
        <w:tblW w:type="auto" w:w="0"/>
        <w:tblLook w:firstRow="1" w:lastRow="0" w:firstColumn="0" w:lastColumn="0" w:noHBand="0" w:noVBand="0" w:val="0020"/>
        <w:jc w:val="start"/>
      </w:tblPr>
      <w:tblGrid>
        <w:gridCol w:w="3960"/>
        <w:gridCol w:w="3960"/>
      </w:tblGrid>
      <w:tr>
        <w:trPr>
          <w:tblHeader w:val="true"/>
        </w:trPr>
        <w:tc>
          <w:tcPr/>
          <w:p>
            <w:pPr>
              <w:pStyle w:val="Compact"/>
              <w:jc w:val="left"/>
            </w:pPr>
            <w:r>
              <w:t xml:space="preserve">UTCI (degree Celsius)</w:t>
            </w:r>
          </w:p>
        </w:tc>
        <w:tc>
          <w:tcPr/>
          <w:p>
            <w:pPr>
              <w:pStyle w:val="Compact"/>
              <w:jc w:val="left"/>
            </w:pPr>
            <w:r>
              <w:t xml:space="preserve">Scientific category</w:t>
            </w:r>
          </w:p>
        </w:tc>
      </w:tr>
      <w:tr>
        <w:tc>
          <w:tcPr/>
          <w:p>
            <w:pPr>
              <w:pStyle w:val="Compact"/>
              <w:jc w:val="left"/>
            </w:pPr>
            <w:r>
              <w:t xml:space="preserve">below -40</w:t>
            </w:r>
          </w:p>
        </w:tc>
        <w:tc>
          <w:tcPr/>
          <w:p>
            <w:pPr>
              <w:pStyle w:val="Compact"/>
              <w:jc w:val="left"/>
            </w:pPr>
            <w:r>
              <w:t xml:space="preserve">extreme cold stress</w:t>
            </w:r>
          </w:p>
        </w:tc>
      </w:tr>
      <w:tr>
        <w:tc>
          <w:tcPr/>
          <w:p>
            <w:pPr>
              <w:pStyle w:val="Compact"/>
              <w:jc w:val="left"/>
            </w:pPr>
            <w:r>
              <w:t xml:space="preserve">-40 to below -27</w:t>
            </w:r>
          </w:p>
        </w:tc>
        <w:tc>
          <w:tcPr/>
          <w:p>
            <w:pPr>
              <w:pStyle w:val="Compact"/>
              <w:jc w:val="left"/>
            </w:pPr>
            <w:r>
              <w:t xml:space="preserve">very strong cold stress</w:t>
            </w:r>
          </w:p>
        </w:tc>
      </w:tr>
      <w:tr>
        <w:tc>
          <w:tcPr/>
          <w:p>
            <w:pPr>
              <w:pStyle w:val="Compact"/>
              <w:jc w:val="left"/>
            </w:pPr>
            <w:r>
              <w:t xml:space="preserve">-27 to below -13</w:t>
            </w:r>
          </w:p>
        </w:tc>
        <w:tc>
          <w:tcPr/>
          <w:p>
            <w:pPr>
              <w:pStyle w:val="Compact"/>
              <w:jc w:val="left"/>
            </w:pPr>
            <w:r>
              <w:t xml:space="preserve">strong cold stress</w:t>
            </w:r>
          </w:p>
        </w:tc>
      </w:tr>
      <w:tr>
        <w:tc>
          <w:tcPr/>
          <w:p>
            <w:pPr>
              <w:pStyle w:val="Compact"/>
              <w:jc w:val="left"/>
            </w:pPr>
            <w:r>
              <w:t xml:space="preserve">-13 to below 0</w:t>
            </w:r>
          </w:p>
        </w:tc>
        <w:tc>
          <w:tcPr/>
          <w:p>
            <w:pPr>
              <w:pStyle w:val="Compact"/>
              <w:jc w:val="left"/>
            </w:pPr>
            <w:r>
              <w:t xml:space="preserve">moderate cold stress</w:t>
            </w:r>
          </w:p>
        </w:tc>
      </w:tr>
      <w:tr>
        <w:tc>
          <w:tcPr/>
          <w:p>
            <w:pPr>
              <w:pStyle w:val="Compact"/>
              <w:jc w:val="left"/>
            </w:pPr>
            <w:r>
              <w:t xml:space="preserve">0 to below 9</w:t>
            </w:r>
          </w:p>
        </w:tc>
        <w:tc>
          <w:tcPr/>
          <w:p>
            <w:pPr>
              <w:pStyle w:val="Compact"/>
              <w:jc w:val="left"/>
            </w:pPr>
            <w:r>
              <w:t xml:space="preserve">slight cold stress</w:t>
            </w:r>
          </w:p>
        </w:tc>
      </w:tr>
      <w:tr>
        <w:tc>
          <w:tcPr/>
          <w:p>
            <w:pPr>
              <w:pStyle w:val="Compact"/>
              <w:jc w:val="left"/>
            </w:pPr>
            <w:r>
              <w:t xml:space="preserve">9 to below 26</w:t>
            </w:r>
          </w:p>
        </w:tc>
        <w:tc>
          <w:tcPr/>
          <w:p>
            <w:pPr>
              <w:pStyle w:val="Compact"/>
              <w:jc w:val="left"/>
            </w:pPr>
            <w:r>
              <w:t xml:space="preserve">no thermal stress</w:t>
            </w:r>
          </w:p>
        </w:tc>
      </w:tr>
      <w:tr>
        <w:tc>
          <w:tcPr/>
          <w:p>
            <w:pPr>
              <w:pStyle w:val="Compact"/>
              <w:jc w:val="left"/>
            </w:pPr>
            <w:r>
              <w:t xml:space="preserve">26 to below 32</w:t>
            </w:r>
          </w:p>
        </w:tc>
        <w:tc>
          <w:tcPr/>
          <w:p>
            <w:pPr>
              <w:pStyle w:val="Compact"/>
              <w:jc w:val="left"/>
            </w:pPr>
            <w:r>
              <w:t xml:space="preserve">moderate heat stress</w:t>
            </w:r>
          </w:p>
        </w:tc>
      </w:tr>
      <w:tr>
        <w:tc>
          <w:tcPr/>
          <w:p>
            <w:pPr>
              <w:pStyle w:val="Compact"/>
              <w:jc w:val="left"/>
            </w:pPr>
            <w:r>
              <w:t xml:space="preserve">32 to below 38</w:t>
            </w:r>
          </w:p>
        </w:tc>
        <w:tc>
          <w:tcPr/>
          <w:p>
            <w:pPr>
              <w:pStyle w:val="Compact"/>
              <w:jc w:val="left"/>
            </w:pPr>
            <w:r>
              <w:t xml:space="preserve">strong heat stress</w:t>
            </w:r>
          </w:p>
        </w:tc>
      </w:tr>
      <w:tr>
        <w:tc>
          <w:tcPr/>
          <w:p>
            <w:pPr>
              <w:pStyle w:val="Compact"/>
              <w:jc w:val="left"/>
            </w:pPr>
            <w:r>
              <w:t xml:space="preserve">38 to below 46</w:t>
            </w:r>
          </w:p>
        </w:tc>
        <w:tc>
          <w:tcPr/>
          <w:p>
            <w:pPr>
              <w:pStyle w:val="Compact"/>
              <w:jc w:val="left"/>
            </w:pPr>
            <w:r>
              <w:t xml:space="preserve">very strong heat stress</w:t>
            </w:r>
          </w:p>
        </w:tc>
      </w:tr>
      <w:tr>
        <w:tc>
          <w:tcPr/>
          <w:p>
            <w:pPr>
              <w:pStyle w:val="Compact"/>
              <w:jc w:val="left"/>
            </w:pPr>
            <w:r>
              <w:t xml:space="preserve">46 and above</w:t>
            </w:r>
          </w:p>
        </w:tc>
        <w:tc>
          <w:tcPr/>
          <w:p>
            <w:pPr>
              <w:pStyle w:val="Compact"/>
              <w:jc w:val="left"/>
            </w:pPr>
            <w:r>
              <w:t xml:space="preserve">extreme heat stress</w:t>
            </w:r>
          </w:p>
        </w:tc>
      </w:tr>
    </w:tbl>
    <w:p>
      <w:pPr>
        <w:pStyle w:val="BodyText"/>
      </w:pPr>
      <w:r>
        <w:t xml:space="preserve">Every bound is lower-inclusive and upper-exclusive.</w:t>
      </w:r>
    </w:p>
    <w:bookmarkEnd w:id="67"/>
    <w:bookmarkStart w:id="68" w:name="utci-operational-level"/>
    <w:p>
      <w:pPr>
        <w:pStyle w:val="Heading2"/>
      </w:pPr>
      <w:r>
        <w:t xml:space="preserve">7.3 UTCI operational level</w:t>
      </w:r>
    </w:p>
    <w:p>
      <w:pPr>
        <w:pStyle w:val="FirstParagraph"/>
      </w:pPr>
      <w:r>
        <w:t xml:space="preserve">The IoTSyn operational mapping is intentionally coarser and is not described as symmetric:</w:t>
      </w:r>
    </w:p>
    <w:tbl>
      <w:tblPr>
        <w:tblStyle w:val="Table"/>
        <w:tblW w:type="auto" w:w="0"/>
        <w:tblLook w:firstRow="1" w:lastRow="0" w:firstColumn="0" w:lastColumn="0" w:noHBand="0" w:noVBand="0" w:val="0020"/>
        <w:jc w:val="start"/>
      </w:tblPr>
      <w:tblGrid>
        <w:gridCol w:w="3960"/>
        <w:gridCol w:w="3960"/>
      </w:tblGrid>
      <w:tr>
        <w:trPr>
          <w:tblHeader w:val="true"/>
        </w:trPr>
        <w:tc>
          <w:tcPr/>
          <w:p>
            <w:pPr>
              <w:pStyle w:val="Compact"/>
              <w:jc w:val="left"/>
            </w:pPr>
            <w:r>
              <w:t xml:space="preserve">UTCI interval (lower-inclusive)</w:t>
            </w:r>
          </w:p>
        </w:tc>
        <w:tc>
          <w:tcPr/>
          <w:p>
            <w:pPr>
              <w:pStyle w:val="Compact"/>
              <w:jc w:val="left"/>
            </w:pPr>
            <w:r>
              <w:rPr>
                <w:rStyle w:val="VerbatimChar"/>
              </w:rPr>
              <w:t xml:space="preserve">thermal_risk_level</w:t>
            </w:r>
          </w:p>
        </w:tc>
      </w:tr>
      <w:tr>
        <w:tc>
          <w:tcPr/>
          <w:p>
            <w:pPr>
              <w:pStyle w:val="Compact"/>
              <w:jc w:val="left"/>
            </w:pPr>
            <w:r>
              <w:t xml:space="preserve">9 to below 26</w:t>
            </w:r>
          </w:p>
        </w:tc>
        <w:tc>
          <w:tcPr/>
          <w:p>
            <w:pPr>
              <w:pStyle w:val="Compact"/>
              <w:jc w:val="left"/>
            </w:pPr>
            <w:r>
              <w:t xml:space="preserve">low</w:t>
            </w:r>
          </w:p>
        </w:tc>
      </w:tr>
      <w:tr>
        <w:tc>
          <w:tcPr/>
          <w:p>
            <w:pPr>
              <w:pStyle w:val="Compact"/>
              <w:jc w:val="left"/>
            </w:pPr>
            <w:r>
              <w:t xml:space="preserve">0 to below 9, or 26 to below 32</w:t>
            </w:r>
          </w:p>
        </w:tc>
        <w:tc>
          <w:tcPr/>
          <w:p>
            <w:pPr>
              <w:pStyle w:val="Compact"/>
              <w:jc w:val="left"/>
            </w:pPr>
            <w:r>
              <w:t xml:space="preserve">caution</w:t>
            </w:r>
          </w:p>
        </w:tc>
      </w:tr>
      <w:tr>
        <w:tc>
          <w:tcPr/>
          <w:p>
            <w:pPr>
              <w:pStyle w:val="Compact"/>
              <w:jc w:val="left"/>
            </w:pPr>
            <w:r>
              <w:t xml:space="preserve">-13 to below 0, or 32 to below 38</w:t>
            </w:r>
          </w:p>
        </w:tc>
        <w:tc>
          <w:tcPr/>
          <w:p>
            <w:pPr>
              <w:pStyle w:val="Compact"/>
              <w:jc w:val="left"/>
            </w:pPr>
            <w:r>
              <w:t xml:space="preserve">high_risk</w:t>
            </w:r>
          </w:p>
        </w:tc>
      </w:tr>
      <w:tr>
        <w:tc>
          <w:tcPr/>
          <w:p>
            <w:pPr>
              <w:pStyle w:val="Compact"/>
              <w:jc w:val="left"/>
            </w:pPr>
            <w:r>
              <w:t xml:space="preserve">below -13, or 38 and above</w:t>
            </w:r>
          </w:p>
        </w:tc>
        <w:tc>
          <w:tcPr/>
          <w:p>
            <w:pPr>
              <w:pStyle w:val="Compact"/>
              <w:jc w:val="left"/>
            </w:pPr>
            <w:r>
              <w:t xml:space="preserve">severe</w:t>
            </w:r>
          </w:p>
        </w:tc>
      </w:tr>
    </w:tbl>
    <w:p>
      <w:pPr>
        <w:pStyle w:val="BodyText"/>
      </w:pPr>
      <w:r>
        <w:t xml:space="preserve">The scientific category and operational level are stored separately.</w:t>
      </w:r>
    </w:p>
    <w:bookmarkEnd w:id="68"/>
    <w:bookmarkStart w:id="69" w:name="wbgt-optional-path"/>
    <w:p>
      <w:pPr>
        <w:pStyle w:val="Heading2"/>
      </w:pPr>
      <w:r>
        <w:t xml:space="preserve">7.4 WBGT optional path</w:t>
      </w:r>
    </w:p>
    <w:p>
      <w:pPr>
        <w:pStyle w:val="FirstParagraph"/>
      </w:pPr>
      <w:r>
        <w:t xml:space="preserve">WBGT is a heat-stress screening index and SHALL NOT reuse the year-round UTCI classification table. If enabled, the output is</w:t>
      </w:r>
      <w:r>
        <w:t xml:space="preserve"> </w:t>
      </w:r>
      <w:r>
        <w:rPr>
          <w:rStyle w:val="VerbatimChar"/>
        </w:rPr>
        <w:t xml:space="preserve">wbgt_outdoor_c</w:t>
      </w:r>
      <w:r>
        <w:t xml:space="preserve"> </w:t>
      </w:r>
      <w:r>
        <w:t xml:space="preserve">and a separate</w:t>
      </w:r>
      <w:r>
        <w:t xml:space="preserve"> </w:t>
      </w:r>
      <w:r>
        <w:rPr>
          <w:rStyle w:val="VerbatimChar"/>
        </w:rPr>
        <w:t xml:space="preserve">wbgt_heat_action_level</w:t>
      </w:r>
      <w:r>
        <w:t xml:space="preserve"> </w:t>
      </w:r>
      <w:r>
        <w:t xml:space="preserve">derived from an explicitly named policy.</w:t>
      </w:r>
    </w:p>
    <w:p>
      <w:pPr>
        <w:pStyle w:val="BodyText"/>
      </w:pPr>
      <w:r>
        <w:t xml:space="preserve">A WBGT policy MUST record:</w:t>
      </w:r>
    </w:p>
    <w:p>
      <w:pPr>
        <w:numPr>
          <w:ilvl w:val="0"/>
          <w:numId w:val="1017"/>
        </w:numPr>
        <w:pStyle w:val="Compact"/>
      </w:pPr>
      <w:r>
        <w:t xml:space="preserve">metabolic-rate class;</w:t>
      </w:r>
    </w:p>
    <w:p>
      <w:pPr>
        <w:numPr>
          <w:ilvl w:val="0"/>
          <w:numId w:val="1017"/>
        </w:numPr>
        <w:pStyle w:val="Compact"/>
      </w:pPr>
      <w:r>
        <w:t xml:space="preserve">clothing adjustment;</w:t>
      </w:r>
    </w:p>
    <w:p>
      <w:pPr>
        <w:numPr>
          <w:ilvl w:val="0"/>
          <w:numId w:val="1017"/>
        </w:numPr>
        <w:pStyle w:val="Compact"/>
      </w:pPr>
      <w:r>
        <w:t xml:space="preserve">acclimatization assumption;</w:t>
      </w:r>
    </w:p>
    <w:p>
      <w:pPr>
        <w:numPr>
          <w:ilvl w:val="0"/>
          <w:numId w:val="1017"/>
        </w:numPr>
        <w:pStyle w:val="Compact"/>
      </w:pPr>
      <w:r>
        <w:t xml:space="preserve">exposure duration or work/rest schedule;</w:t>
      </w:r>
    </w:p>
    <w:p>
      <w:pPr>
        <w:numPr>
          <w:ilvl w:val="0"/>
          <w:numId w:val="1017"/>
        </w:numPr>
        <w:pStyle w:val="Compact"/>
      </w:pPr>
      <w:r>
        <w:t xml:space="preserve">whether solar load is present;</w:t>
      </w:r>
    </w:p>
    <w:p>
      <w:pPr>
        <w:numPr>
          <w:ilvl w:val="0"/>
          <w:numId w:val="1017"/>
        </w:numPr>
        <w:pStyle w:val="Compact"/>
      </w:pPr>
      <w:r>
        <w:t xml:space="preserve">policy source and version.</w:t>
      </w:r>
    </w:p>
    <w:p>
      <w:pPr>
        <w:pStyle w:val="FirstParagraph"/>
      </w:pPr>
      <w:r>
        <w:t xml:space="preserve">WBGT output is unavailable for cold-risk classification. If UTCI is disabled, the thermal component outside a valid WBGT heat context is marked</w:t>
      </w:r>
      <w:r>
        <w:t xml:space="preserve"> </w:t>
      </w:r>
      <w:r>
        <w:rPr>
          <w:rStyle w:val="VerbatimChar"/>
        </w:rPr>
        <w:t xml:space="preserve">unavailable</w:t>
      </w:r>
      <w:r>
        <w:t xml:space="preserve">, not</w:t>
      </w:r>
      <w:r>
        <w:t xml:space="preserve"> </w:t>
      </w:r>
      <w:r>
        <w:rPr>
          <w:rStyle w:val="VerbatimChar"/>
        </w:rPr>
        <w:t xml:space="preserve">low</w:t>
      </w:r>
      <w:r>
        <w:t xml:space="preserve">.</w:t>
      </w:r>
    </w:p>
    <w:bookmarkEnd w:id="69"/>
    <w:bookmarkEnd w:id="70"/>
    <w:bookmarkStart w:id="82" w:name="aggregation-hazard-vector-and-decisions"/>
    <w:p>
      <w:pPr>
        <w:pStyle w:val="Heading1"/>
      </w:pPr>
      <w:r>
        <w:t xml:space="preserve">8. Aggregation, hazard vector, and decisions</w:t>
      </w:r>
    </w:p>
    <w:bookmarkStart w:id="71" w:name="rolling-window-rule"/>
    <w:p>
      <w:pPr>
        <w:pStyle w:val="Heading2"/>
      </w:pPr>
      <w:r>
        <w:t xml:space="preserve">8.1 Rolling-window rule</w:t>
      </w:r>
    </w:p>
    <w:p>
      <w:pPr>
        <w:pStyle w:val="FirstParagraph"/>
      </w:pPr>
      <w:r>
        <w:t xml:space="preserve">All rolling exposure metrics use a declared duration and exact time weighting. The default policy is</w:t>
      </w:r>
      <w:r>
        <w:t xml:space="preserve"> </w:t>
      </w:r>
      <w:r>
        <w:rPr>
          <w:rStyle w:val="VerbatimChar"/>
        </w:rPr>
        <w:t xml:space="preserve">require_complete_window</w:t>
      </w:r>
      <w:r>
        <w:t xml:space="preserve">. A value is unavailable until the full period is covered by generated or warm-up history.</w:t>
      </w:r>
    </w:p>
    <w:p>
      <w:pPr>
        <w:pStyle w:val="BodyText"/>
      </w:pPr>
      <w:r>
        <w:t xml:space="preserve">A partial-window value MAY be emitted for diagnostics as a separately named field ending in</w:t>
      </w:r>
      <w:r>
        <w:t xml:space="preserve"> </w:t>
      </w:r>
      <w:r>
        <w:rPr>
          <w:rStyle w:val="VerbatimChar"/>
        </w:rPr>
        <w:t xml:space="preserve">_partial</w:t>
      </w:r>
      <w:r>
        <w:t xml:space="preserve">; it MUST NOT drive risk unless</w:t>
      </w:r>
      <w:r>
        <w:t xml:space="preserve"> </w:t>
      </w:r>
      <w:r>
        <w:rPr>
          <w:rStyle w:val="VerbatimChar"/>
        </w:rPr>
        <w:t xml:space="preserve">allow_partial_risk = true</w:t>
      </w:r>
      <w:r>
        <w:t xml:space="preserve"> </w:t>
      </w:r>
      <w:r>
        <w:t xml:space="preserve">is explicitly set.</w:t>
      </w:r>
    </w:p>
    <w:bookmarkEnd w:id="71"/>
    <w:bookmarkStart w:id="72" w:name="air-quality-operational-profile"/>
    <w:p>
      <w:pPr>
        <w:pStyle w:val="Heading2"/>
      </w:pPr>
      <w:r>
        <w:t xml:space="preserve">8.2 Air-quality operational profile</w:t>
      </w:r>
    </w:p>
    <w:p>
      <w:pPr>
        <w:pStyle w:val="FirstParagraph"/>
      </w:pPr>
      <w:r>
        <w:t xml:space="preserve">IoTSyn defaults are operational simulation bands inspired by the WHO 2021 guideline and interim-target structure. They are not direct clinical alert thresholds and MUST be identified as</w:t>
      </w:r>
      <w:r>
        <w:t xml:space="preserve"> </w:t>
      </w:r>
      <w:r>
        <w:rPr>
          <w:rStyle w:val="VerbatimChar"/>
        </w:rPr>
        <w:t xml:space="preserve">iotsyn_operational_24h_v1</w:t>
      </w:r>
      <w:r>
        <w:t xml:space="preserve">.</w:t>
      </w:r>
    </w:p>
    <w:p>
      <w:pPr>
        <w:pStyle w:val="BodyText"/>
      </w:pPr>
      <w:r>
        <w:t xml:space="preserve">Rolling air-quality features consume the calibrated sensor column when calibration is enabled and the raw sensor column otherwise; the resolved choice is echoed as</w:t>
      </w:r>
      <w:r>
        <w:t xml:space="preserve"> </w:t>
      </w:r>
      <w:r>
        <w:rPr>
          <w:rStyle w:val="VerbatimChar"/>
        </w:rPr>
        <w:t xml:space="preserve">air_quality_feature_source</w:t>
      </w:r>
      <w:r>
        <w:t xml:space="preserve"> </w:t>
      </w:r>
      <w:r>
        <w:t xml:space="preserve">in the normalized scenario. The required averaging period is 24 hours:</w:t>
      </w:r>
    </w:p>
    <w:tbl>
      <w:tblPr>
        <w:tblStyle w:val="Table"/>
        <w:tblW w:type="auto" w:w="0"/>
        <w:tblLook w:firstRow="1" w:lastRow="0" w:firstColumn="0" w:lastColumn="0" w:noHBand="0" w:noVBand="0" w:val="0020"/>
        <w:jc w:val="start"/>
      </w:tblPr>
      <w:tblGrid>
        <w:gridCol w:w="1584"/>
        <w:gridCol w:w="1584"/>
        <w:gridCol w:w="1584"/>
        <w:gridCol w:w="1584"/>
        <w:gridCol w:w="1584"/>
      </w:tblGrid>
      <w:tr>
        <w:trPr>
          <w:tblHeader w:val="true"/>
        </w:trPr>
        <w:tc>
          <w:tcPr/>
          <w:p>
            <w:pPr>
              <w:pStyle w:val="Compact"/>
              <w:jc w:val="left"/>
            </w:pPr>
            <w:r>
              <w:t xml:space="preserve">Species, microgram/m3</w:t>
            </w:r>
          </w:p>
        </w:tc>
        <w:tc>
          <w:tcPr/>
          <w:p>
            <w:pPr>
              <w:pStyle w:val="Compact"/>
              <w:jc w:val="right"/>
            </w:pPr>
            <w:r>
              <w:t xml:space="preserve">low</w:t>
            </w:r>
          </w:p>
        </w:tc>
        <w:tc>
          <w:tcPr/>
          <w:p>
            <w:pPr>
              <w:pStyle w:val="Compact"/>
              <w:jc w:val="right"/>
            </w:pPr>
            <w:r>
              <w:t xml:space="preserve">caution</w:t>
            </w:r>
          </w:p>
        </w:tc>
        <w:tc>
          <w:tcPr/>
          <w:p>
            <w:pPr>
              <w:pStyle w:val="Compact"/>
              <w:jc w:val="right"/>
            </w:pPr>
            <w:r>
              <w:t xml:space="preserve">high_risk</w:t>
            </w:r>
          </w:p>
        </w:tc>
        <w:tc>
          <w:tcPr/>
          <w:p>
            <w:pPr>
              <w:pStyle w:val="Compact"/>
              <w:jc w:val="right"/>
            </w:pPr>
            <w:r>
              <w:t xml:space="preserve">severe</w:t>
            </w:r>
          </w:p>
        </w:tc>
      </w:tr>
      <w:tr>
        <w:tc>
          <w:tcPr/>
          <w:p>
            <w:pPr>
              <w:pStyle w:val="Compact"/>
              <w:jc w:val="left"/>
            </w:pPr>
            <w:r>
              <w:t xml:space="preserve">PM2.5 rolling 24 h</w:t>
            </w:r>
          </w:p>
        </w:tc>
        <w:tc>
          <w:tcPr/>
          <w:p>
            <w:pPr>
              <w:pStyle w:val="Compact"/>
              <w:jc w:val="right"/>
            </w:pPr>
            <w:r>
              <w:t xml:space="preserve">&lt;15</w:t>
            </w:r>
          </w:p>
        </w:tc>
        <w:tc>
          <w:tcPr/>
          <w:p>
            <w:pPr>
              <w:pStyle w:val="Compact"/>
              <w:jc w:val="right"/>
            </w:pPr>
            <w:r>
              <w:t xml:space="preserve">15 to &lt;25</w:t>
            </w:r>
          </w:p>
        </w:tc>
        <w:tc>
          <w:tcPr/>
          <w:p>
            <w:pPr>
              <w:pStyle w:val="Compact"/>
              <w:jc w:val="right"/>
            </w:pPr>
            <w:r>
              <w:t xml:space="preserve">25 to &lt;50</w:t>
            </w:r>
          </w:p>
        </w:tc>
        <w:tc>
          <w:tcPr/>
          <w:p>
            <w:pPr>
              <w:pStyle w:val="Compact"/>
              <w:jc w:val="right"/>
            </w:pPr>
            <w:r>
              <w:t xml:space="preserve">&gt;=50</w:t>
            </w:r>
          </w:p>
        </w:tc>
      </w:tr>
      <w:tr>
        <w:tc>
          <w:tcPr/>
          <w:p>
            <w:pPr>
              <w:pStyle w:val="Compact"/>
              <w:jc w:val="left"/>
            </w:pPr>
            <w:r>
              <w:t xml:space="preserve">NO2 rolling 24 h</w:t>
            </w:r>
          </w:p>
        </w:tc>
        <w:tc>
          <w:tcPr/>
          <w:p>
            <w:pPr>
              <w:pStyle w:val="Compact"/>
              <w:jc w:val="right"/>
            </w:pPr>
            <w:r>
              <w:t xml:space="preserve">&lt;25</w:t>
            </w:r>
          </w:p>
        </w:tc>
        <w:tc>
          <w:tcPr/>
          <w:p>
            <w:pPr>
              <w:pStyle w:val="Compact"/>
              <w:jc w:val="right"/>
            </w:pPr>
            <w:r>
              <w:t xml:space="preserve">25 to &lt;50</w:t>
            </w:r>
          </w:p>
        </w:tc>
        <w:tc>
          <w:tcPr/>
          <w:p>
            <w:pPr>
              <w:pStyle w:val="Compact"/>
              <w:jc w:val="right"/>
            </w:pPr>
            <w:r>
              <w:t xml:space="preserve">50 to &lt;100</w:t>
            </w:r>
          </w:p>
        </w:tc>
        <w:tc>
          <w:tcPr/>
          <w:p>
            <w:pPr>
              <w:pStyle w:val="Compact"/>
              <w:jc w:val="right"/>
            </w:pPr>
            <w:r>
              <w:t xml:space="preserve">&gt;=100</w:t>
            </w:r>
          </w:p>
        </w:tc>
      </w:tr>
    </w:tbl>
    <w:p>
      <w:pPr>
        <w:pStyle w:val="BodyText"/>
      </w:pPr>
      <w:r>
        <w:rPr>
          <w:iCs/>
          <w:i/>
        </w:rPr>
        <w:t xml:space="preserve">Band provenance (informative).</w:t>
      </w:r>
      <w:r>
        <w:t xml:space="preserve"> </w:t>
      </w:r>
      <w:r>
        <w:t xml:space="preserve">The PM2.5 boundaries coincide with the WHO 2021 24-hour guideline value (15) and interim targets 4 (25) and 2 (50). For NO2, only the 25 microgram/m3 boundary is a WHO 2021 24-hour guideline value; the 50 and 100 boundaries are IoTSyn operational subdivisions, since the sole WHO 24-hour interim target for NO2 is 120.</w:t>
      </w:r>
    </w:p>
    <w:p>
      <w:pPr>
        <w:pStyle w:val="BodyText"/>
      </w:pPr>
      <w:r>
        <w:t xml:space="preserve">The air-quality component is the worse available species level. If neither complete species window is available, the component is</w:t>
      </w:r>
      <w:r>
        <w:t xml:space="preserve"> </w:t>
      </w:r>
      <w:r>
        <w:rPr>
          <w:rStyle w:val="VerbatimChar"/>
        </w:rPr>
        <w:t xml:space="preserve">unavailable</w:t>
      </w:r>
      <w:r>
        <w:t xml:space="preserve">.</w:t>
      </w:r>
    </w:p>
    <w:p>
      <w:pPr>
        <w:pStyle w:val="BodyText"/>
      </w:pPr>
      <w:r>
        <w:t xml:space="preserve">A jurisdiction-specific profile SHOULD replace these defaults for operational deployment.</w:t>
      </w:r>
    </w:p>
    <w:bookmarkEnd w:id="72"/>
    <w:bookmarkStart w:id="73" w:name="noise-operational-profile"/>
    <w:p>
      <w:pPr>
        <w:pStyle w:val="Heading2"/>
      </w:pPr>
      <w:r>
        <w:t xml:space="preserve">8.3 Noise operational profile</w:t>
      </w:r>
    </w:p>
    <w:p>
      <w:pPr>
        <w:pStyle w:val="FirstParagraph"/>
      </w:pPr>
      <w:r>
        <w:t xml:space="preserve">The default context-neutral simulation bands for the declared</w:t>
      </w:r>
      <w:r>
        <w:t xml:space="preserve"> </w:t>
      </w:r>
      <m:oMath>
        <m:sSub>
          <m:e>
            <m:r>
              <m:t>L</m:t>
            </m:r>
          </m:e>
          <m:sub>
            <m:r>
              <m:t>A</m:t>
            </m:r>
            <m:r>
              <m:t>e</m:t>
            </m:r>
            <m:r>
              <m:t>q</m:t>
            </m:r>
            <m:r>
              <m:rPr>
                <m:sty m:val="p"/>
              </m:rPr>
              <m:t>,</m:t>
            </m:r>
            <m:r>
              <m:t>T</m:t>
            </m:r>
          </m:sub>
        </m:sSub>
      </m:oMath>
      <w:r>
        <w:t xml:space="preserve"> </w:t>
      </w:r>
      <w:r>
        <w:t xml:space="preserve">are:</w:t>
      </w:r>
    </w:p>
    <w:tbl>
      <w:tblPr>
        <w:tblStyle w:val="Table"/>
        <w:tblW w:type="auto" w:w="0"/>
        <w:tblLook w:firstRow="1" w:lastRow="0" w:firstColumn="0" w:lastColumn="0" w:noHBand="0" w:noVBand="0" w:val="0020"/>
        <w:jc w:val="start"/>
      </w:tblPr>
      <w:tblGrid>
        <w:gridCol w:w="3960"/>
        <w:gridCol w:w="3960"/>
      </w:tblGrid>
      <w:tr>
        <w:trPr>
          <w:tblHeader w:val="true"/>
        </w:trPr>
        <w:tc>
          <w:tcPr/>
          <w:p>
            <w:pPr>
              <w:pStyle w:val="Compact"/>
              <w:jc w:val="left"/>
            </w:pPr>
            <w:r>
              <w:t xml:space="preserve">dB(A)</w:t>
            </w:r>
          </w:p>
        </w:tc>
        <w:tc>
          <w:tcPr/>
          <w:p>
            <w:pPr>
              <w:pStyle w:val="Compact"/>
              <w:jc w:val="left"/>
            </w:pPr>
            <w:r>
              <w:t xml:space="preserve">Level</w:t>
            </w:r>
          </w:p>
        </w:tc>
      </w:tr>
      <w:tr>
        <w:tc>
          <w:tcPr/>
          <w:p>
            <w:pPr>
              <w:pStyle w:val="Compact"/>
              <w:jc w:val="left"/>
            </w:pPr>
            <w:r>
              <w:t xml:space="preserve">&lt;55</w:t>
            </w:r>
          </w:p>
        </w:tc>
        <w:tc>
          <w:tcPr/>
          <w:p>
            <w:pPr>
              <w:pStyle w:val="Compact"/>
              <w:jc w:val="left"/>
            </w:pPr>
            <w:r>
              <w:t xml:space="preserve">low</w:t>
            </w:r>
          </w:p>
        </w:tc>
      </w:tr>
      <w:tr>
        <w:tc>
          <w:tcPr/>
          <w:p>
            <w:pPr>
              <w:pStyle w:val="Compact"/>
              <w:jc w:val="left"/>
            </w:pPr>
            <w:r>
              <w:t xml:space="preserve">55 to &lt;65</w:t>
            </w:r>
          </w:p>
        </w:tc>
        <w:tc>
          <w:tcPr/>
          <w:p>
            <w:pPr>
              <w:pStyle w:val="Compact"/>
              <w:jc w:val="left"/>
            </w:pPr>
            <w:r>
              <w:t xml:space="preserve">caution</w:t>
            </w:r>
          </w:p>
        </w:tc>
      </w:tr>
      <w:tr>
        <w:tc>
          <w:tcPr/>
          <w:p>
            <w:pPr>
              <w:pStyle w:val="Compact"/>
              <w:jc w:val="left"/>
            </w:pPr>
            <w:r>
              <w:t xml:space="preserve">65 to &lt;75</w:t>
            </w:r>
          </w:p>
        </w:tc>
        <w:tc>
          <w:tcPr/>
          <w:p>
            <w:pPr>
              <w:pStyle w:val="Compact"/>
              <w:jc w:val="left"/>
            </w:pPr>
            <w:r>
              <w:t xml:space="preserve">high_risk</w:t>
            </w:r>
          </w:p>
        </w:tc>
      </w:tr>
      <w:tr>
        <w:tc>
          <w:tcPr/>
          <w:p>
            <w:pPr>
              <w:pStyle w:val="Compact"/>
              <w:jc w:val="left"/>
            </w:pPr>
            <w:r>
              <w:t xml:space="preserve">&gt;=75</w:t>
            </w:r>
          </w:p>
        </w:tc>
        <w:tc>
          <w:tcPr/>
          <w:p>
            <w:pPr>
              <w:pStyle w:val="Compact"/>
              <w:jc w:val="left"/>
            </w:pPr>
            <w:r>
              <w:t xml:space="preserve">severe</w:t>
            </w:r>
          </w:p>
        </w:tc>
      </w:tr>
    </w:tbl>
    <w:p>
      <w:pPr>
        <w:pStyle w:val="BodyText"/>
      </w:pPr>
      <w:r>
        <w:t xml:space="preserve">These are configurable operational bands, not universal ISO health limits. The assessment window and context are mandatory metadata.</w:t>
      </w:r>
    </w:p>
    <w:bookmarkEnd w:id="73"/>
    <w:bookmarkStart w:id="74" w:name="crowding-component"/>
    <w:p>
      <w:pPr>
        <w:pStyle w:val="Heading2"/>
      </w:pPr>
      <w:r>
        <w:t xml:space="preserve">8.4 Crowding component</w:t>
      </w:r>
    </w:p>
    <w:p>
      <w:pPr>
        <w:pStyle w:val="FirstParagraph"/>
      </w:pPr>
      <w:r>
        <w:t xml:space="preserve">The primary capacity metric is</w:t>
      </w:r>
    </w:p>
    <w:p>
      <w:pPr>
        <w:pStyle w:val="BodyText"/>
      </w:pPr>
      <m:oMathPara>
        <m:oMathParaPr>
          <m:jc m:val="center"/>
        </m:oMathParaPr>
        <m:oMath>
          <m:r>
            <m:t>o</m:t>
          </m:r>
          <m:r>
            <m:t>p</m:t>
          </m:r>
          <m:r>
            <m:t>e</m:t>
          </m:r>
          <m:r>
            <m:t>r</m:t>
          </m:r>
          <m:r>
            <m:t>a</m:t>
          </m:r>
          <m:r>
            <m:t>t</m:t>
          </m:r>
          <m:r>
            <m:t>i</m:t>
          </m:r>
          <m:r>
            <m:t>o</m:t>
          </m:r>
          <m:r>
            <m:t>n</m:t>
          </m:r>
          <m:r>
            <m:t>a</m:t>
          </m:r>
          <m:r>
            <m:t>l</m:t>
          </m:r>
          <m:r>
            <m:rPr>
              <m:sty m:val="p"/>
            </m:rPr>
            <m:t>_</m:t>
          </m:r>
          <m:r>
            <m:t>c</m:t>
          </m:r>
          <m:r>
            <m:t>a</m:t>
          </m:r>
          <m:r>
            <m:t>p</m:t>
          </m:r>
          <m:r>
            <m:t>a</m:t>
          </m:r>
          <m:r>
            <m:t>c</m:t>
          </m:r>
          <m:r>
            <m:t>i</m:t>
          </m:r>
          <m:r>
            <m:t>t</m:t>
          </m:r>
          <m:r>
            <m:t>y</m:t>
          </m:r>
          <m:r>
            <m:rPr>
              <m:sty m:val="p"/>
            </m:rPr>
            <m:t>_</m:t>
          </m:r>
          <m:r>
            <m:t>r</m:t>
          </m:r>
          <m:r>
            <m:t>a</m:t>
          </m:r>
          <m:r>
            <m:t>t</m:t>
          </m:r>
          <m:r>
            <m:t>i</m:t>
          </m:r>
          <m:r>
            <m:t>o</m:t>
          </m:r>
          <m:r>
            <m:rPr>
              <m:sty m:val="p"/>
            </m:rPr>
            <m:t>=</m:t>
          </m:r>
          <m:r>
            <m:t>N</m:t>
          </m:r>
          <m:r>
            <m:rPr>
              <m:sty m:val="p"/>
            </m:rPr>
            <m:t>/</m:t>
          </m:r>
          <m:r>
            <m:t>K</m:t>
          </m:r>
          <m:r>
            <m:rPr>
              <m:sty m:val="p"/>
            </m:rPr>
            <m:t>.</m:t>
          </m:r>
        </m:oMath>
      </m:oMathPara>
    </w:p>
    <w:p>
      <w:pPr>
        <w:pStyle w:val="FirstParagraph"/>
      </w:pPr>
      <w:r>
        <w:t xml:space="preserve">The default bands are:</w:t>
      </w:r>
    </w:p>
    <w:tbl>
      <w:tblPr>
        <w:tblStyle w:val="Table"/>
        <w:tblW w:type="auto" w:w="0"/>
        <w:tblLook w:firstRow="1" w:lastRow="0" w:firstColumn="0" w:lastColumn="0" w:noHBand="0" w:noVBand="0" w:val="0020"/>
        <w:jc w:val="start"/>
      </w:tblPr>
      <w:tblGrid>
        <w:gridCol w:w="3960"/>
        <w:gridCol w:w="3960"/>
      </w:tblGrid>
      <w:tr>
        <w:trPr>
          <w:tblHeader w:val="true"/>
        </w:trPr>
        <w:tc>
          <w:tcPr/>
          <w:p>
            <w:pPr>
              <w:pStyle w:val="Compact"/>
              <w:jc w:val="left"/>
            </w:pPr>
            <w:r>
              <w:t xml:space="preserve">Ratio</w:t>
            </w:r>
          </w:p>
        </w:tc>
        <w:tc>
          <w:tcPr/>
          <w:p>
            <w:pPr>
              <w:pStyle w:val="Compact"/>
              <w:jc w:val="left"/>
            </w:pPr>
            <w:r>
              <w:t xml:space="preserve">Level</w:t>
            </w:r>
          </w:p>
        </w:tc>
      </w:tr>
      <w:tr>
        <w:tc>
          <w:tcPr/>
          <w:p>
            <w:pPr>
              <w:pStyle w:val="Compact"/>
              <w:jc w:val="left"/>
            </w:pPr>
            <w:r>
              <w:t xml:space="preserve">&lt;0.5</w:t>
            </w:r>
          </w:p>
        </w:tc>
        <w:tc>
          <w:tcPr/>
          <w:p>
            <w:pPr>
              <w:pStyle w:val="Compact"/>
              <w:jc w:val="left"/>
            </w:pPr>
            <w:r>
              <w:t xml:space="preserve">low</w:t>
            </w:r>
          </w:p>
        </w:tc>
      </w:tr>
      <w:tr>
        <w:tc>
          <w:tcPr/>
          <w:p>
            <w:pPr>
              <w:pStyle w:val="Compact"/>
              <w:jc w:val="left"/>
            </w:pPr>
            <w:r>
              <w:t xml:space="preserve">0.5 to &lt;0.8</w:t>
            </w:r>
          </w:p>
        </w:tc>
        <w:tc>
          <w:tcPr/>
          <w:p>
            <w:pPr>
              <w:pStyle w:val="Compact"/>
              <w:jc w:val="left"/>
            </w:pPr>
            <w:r>
              <w:t xml:space="preserve">caution</w:t>
            </w:r>
          </w:p>
        </w:tc>
      </w:tr>
      <w:tr>
        <w:tc>
          <w:tcPr/>
          <w:p>
            <w:pPr>
              <w:pStyle w:val="Compact"/>
              <w:jc w:val="left"/>
            </w:pPr>
            <w:r>
              <w:t xml:space="preserve">0.8 to &lt;1.0</w:t>
            </w:r>
          </w:p>
        </w:tc>
        <w:tc>
          <w:tcPr/>
          <w:p>
            <w:pPr>
              <w:pStyle w:val="Compact"/>
              <w:jc w:val="left"/>
            </w:pPr>
            <w:r>
              <w:t xml:space="preserve">high_risk</w:t>
            </w:r>
          </w:p>
        </w:tc>
      </w:tr>
      <w:tr>
        <w:tc>
          <w:tcPr/>
          <w:p>
            <w:pPr>
              <w:pStyle w:val="Compact"/>
              <w:jc w:val="left"/>
            </w:pPr>
            <w:r>
              <w:t xml:space="preserve">&gt;=1.0</w:t>
            </w:r>
          </w:p>
        </w:tc>
        <w:tc>
          <w:tcPr/>
          <w:p>
            <w:pPr>
              <w:pStyle w:val="Compact"/>
              <w:jc w:val="left"/>
            </w:pPr>
            <w:r>
              <w:t xml:space="preserve">severe</w:t>
            </w:r>
          </w:p>
        </w:tc>
      </w:tr>
    </w:tbl>
    <w:p>
      <w:pPr>
        <w:pStyle w:val="BodyText"/>
      </w:pPr>
      <w:r>
        <w:t xml:space="preserve">When usable area is known, the platform SHOULD also emit</w:t>
      </w:r>
      <w:r>
        <w:t xml:space="preserve"> </w:t>
      </w:r>
      <w:r>
        <w:rPr>
          <w:rStyle w:val="VerbatimChar"/>
        </w:rPr>
        <w:t xml:space="preserve">density_persons_m2</w:t>
      </w:r>
      <w:r>
        <w:t xml:space="preserve">. Capacity ratio is an operational measure, not a complete crowd-safety model.</w:t>
      </w:r>
    </w:p>
    <w:bookmarkEnd w:id="74"/>
    <w:bookmarkStart w:id="75" w:name="risk-vector-and-overall-action-level"/>
    <w:p>
      <w:pPr>
        <w:pStyle w:val="Heading2"/>
      </w:pPr>
      <w:r>
        <w:t xml:space="preserve">8.5 Risk vector and overall action level</w:t>
      </w:r>
    </w:p>
    <w:p>
      <w:pPr>
        <w:pStyle w:val="FirstParagraph"/>
      </w:pPr>
      <w:r>
        <w:t xml:space="preserve">Ordinal numeric encoding is:</w:t>
      </w:r>
    </w:p>
    <w:p>
      <w:pPr>
        <w:pStyle w:val="SourceCode"/>
      </w:pPr>
      <w:r>
        <w:rPr>
          <w:rStyle w:val="VerbatimChar"/>
        </w:rPr>
        <w:t xml:space="preserve">low = 0</w:t>
      </w:r>
      <w:r>
        <w:br/>
      </w:r>
      <w:r>
        <w:rPr>
          <w:rStyle w:val="VerbatimChar"/>
        </w:rPr>
        <w:t xml:space="preserve">caution = 1</w:t>
      </w:r>
      <w:r>
        <w:br/>
      </w:r>
      <w:r>
        <w:rPr>
          <w:rStyle w:val="VerbatimChar"/>
        </w:rPr>
        <w:t xml:space="preserve">high_risk = 2</w:t>
      </w:r>
      <w:r>
        <w:br/>
      </w:r>
      <w:r>
        <w:rPr>
          <w:rStyle w:val="VerbatimChar"/>
        </w:rPr>
        <w:t xml:space="preserve">severe = 3</w:t>
      </w:r>
      <w:r>
        <w:br/>
      </w:r>
      <w:r>
        <w:rPr>
          <w:rStyle w:val="VerbatimChar"/>
        </w:rPr>
        <w:t xml:space="preserve">unavailable = null</w:t>
      </w:r>
    </w:p>
    <w:p>
      <w:pPr>
        <w:pStyle w:val="FirstParagraph"/>
      </w:pPr>
      <w:r>
        <w:t xml:space="preserve">The per-step object is conceptually:</w:t>
      </w:r>
    </w:p>
    <w:p>
      <w:pPr>
        <w:pStyle w:val="SourceCode"/>
      </w:pPr>
      <w:r>
        <w:rPr>
          <w:rStyle w:val="FunctionTok"/>
        </w:rPr>
        <w:t xml:space="preserve">{</w:t>
      </w:r>
      <w:r>
        <w:br/>
      </w:r>
      <w:r>
        <w:rPr>
          <w:rStyle w:val="NormalTok"/>
        </w:rPr>
        <w:t xml:space="preserve">  </w:t>
      </w:r>
      <w:r>
        <w:rPr>
          <w:rStyle w:val="DataTypeTok"/>
        </w:rPr>
        <w:t xml:space="preserve">"thermal"</w:t>
      </w:r>
      <w:r>
        <w:rPr>
          <w:rStyle w:val="FunctionTok"/>
        </w:rPr>
        <w:t xml:space="preserve">:</w:t>
      </w:r>
      <w:r>
        <w:rPr>
          <w:rStyle w:val="NormalTok"/>
        </w:rPr>
        <w:t xml:space="preserve"> </w:t>
      </w:r>
      <w:r>
        <w:rPr>
          <w:rStyle w:val="DecValTok"/>
        </w:rPr>
        <w:t xml:space="preserve">3</w:t>
      </w:r>
      <w:r>
        <w:rPr>
          <w:rStyle w:val="FunctionTok"/>
        </w:rPr>
        <w:t xml:space="preserve">,</w:t>
      </w:r>
      <w:r>
        <w:br/>
      </w:r>
      <w:r>
        <w:rPr>
          <w:rStyle w:val="NormalTok"/>
        </w:rPr>
        <w:t xml:space="preserve">  </w:t>
      </w:r>
      <w:r>
        <w:rPr>
          <w:rStyle w:val="DataTypeTok"/>
        </w:rPr>
        <w:t xml:space="preserve">"air_quality"</w:t>
      </w:r>
      <w:r>
        <w:rPr>
          <w:rStyle w:val="FunctionTok"/>
        </w:rPr>
        <w:t xml:space="preserve">:</w:t>
      </w:r>
      <w:r>
        <w:rPr>
          <w:rStyle w:val="NormalTok"/>
        </w:rPr>
        <w:t xml:space="preserve"> </w:t>
      </w:r>
      <w:r>
        <w:rPr>
          <w:rStyle w:val="DecValTok"/>
        </w:rPr>
        <w:t xml:space="preserve">2</w:t>
      </w:r>
      <w:r>
        <w:rPr>
          <w:rStyle w:val="FunctionTok"/>
        </w:rPr>
        <w:t xml:space="preserve">,</w:t>
      </w:r>
      <w:r>
        <w:br/>
      </w:r>
      <w:r>
        <w:rPr>
          <w:rStyle w:val="NormalTok"/>
        </w:rPr>
        <w:t xml:space="preserve">  </w:t>
      </w:r>
      <w:r>
        <w:rPr>
          <w:rStyle w:val="DataTypeTok"/>
        </w:rPr>
        <w:t xml:space="preserve">"noise"</w:t>
      </w:r>
      <w:r>
        <w:rPr>
          <w:rStyle w:val="FunctionTok"/>
        </w:rPr>
        <w:t xml:space="preserve">:</w:t>
      </w:r>
      <w:r>
        <w:rPr>
          <w:rStyle w:val="NormalTok"/>
        </w:rPr>
        <w:t xml:space="preserve"> </w:t>
      </w:r>
      <w:r>
        <w:rPr>
          <w:rStyle w:val="DecValTok"/>
        </w:rPr>
        <w:t xml:space="preserve">0</w:t>
      </w:r>
      <w:r>
        <w:rPr>
          <w:rStyle w:val="FunctionTok"/>
        </w:rPr>
        <w:t xml:space="preserve">,</w:t>
      </w:r>
      <w:r>
        <w:br/>
      </w:r>
      <w:r>
        <w:rPr>
          <w:rStyle w:val="NormalTok"/>
        </w:rPr>
        <w:t xml:space="preserve">  </w:t>
      </w:r>
      <w:r>
        <w:rPr>
          <w:rStyle w:val="DataTypeTok"/>
        </w:rPr>
        <w:t xml:space="preserve">"crowding"</w:t>
      </w:r>
      <w:r>
        <w:rPr>
          <w:rStyle w:val="FunctionTok"/>
        </w:rPr>
        <w:t xml:space="preserve">:</w:t>
      </w:r>
      <w:r>
        <w:rPr>
          <w:rStyle w:val="NormalTok"/>
        </w:rPr>
        <w:t xml:space="preserve"> </w:t>
      </w:r>
      <w:r>
        <w:rPr>
          <w:rStyle w:val="DecValTok"/>
        </w:rPr>
        <w:t xml:space="preserve">2</w:t>
      </w:r>
      <w:r>
        <w:br/>
      </w:r>
      <w:r>
        <w:rPr>
          <w:rStyle w:val="FunctionTok"/>
        </w:rPr>
        <w:t xml:space="preserve">}</w:t>
      </w:r>
    </w:p>
    <w:p>
      <w:pPr>
        <w:pStyle w:val="FirstParagraph"/>
      </w:pPr>
      <w:r>
        <w:t xml:space="preserve">Derived fields are:</w:t>
      </w:r>
    </w:p>
    <w:p>
      <w:pPr>
        <w:numPr>
          <w:ilvl w:val="0"/>
          <w:numId w:val="1018"/>
        </w:numPr>
        <w:pStyle w:val="Compact"/>
      </w:pPr>
      <w:r>
        <w:rPr>
          <w:rStyle w:val="VerbatimChar"/>
        </w:rPr>
        <w:t xml:space="preserve">overall_action_level</w:t>
      </w:r>
      <w:r>
        <w:t xml:space="preserve">: maximum available component, using</w:t>
      </w:r>
      <w:r>
        <w:t xml:space="preserve"> </w:t>
      </w:r>
      <w:r>
        <w:rPr>
          <w:rStyle w:val="VerbatimChar"/>
        </w:rPr>
        <w:t xml:space="preserve">conservative_max_v1</w:t>
      </w:r>
      <w:r>
        <w:t xml:space="preserve">;</w:t>
      </w:r>
    </w:p>
    <w:p>
      <w:pPr>
        <w:numPr>
          <w:ilvl w:val="0"/>
          <w:numId w:val="1018"/>
        </w:numPr>
        <w:pStyle w:val="Compact"/>
      </w:pPr>
      <w:r>
        <w:rPr>
          <w:rStyle w:val="VerbatimChar"/>
        </w:rPr>
        <w:t xml:space="preserve">dominant_issue</w:t>
      </w:r>
      <w:r>
        <w:t xml:space="preserve">: first maximum according to a documented precedence;</w:t>
      </w:r>
    </w:p>
    <w:p>
      <w:pPr>
        <w:numPr>
          <w:ilvl w:val="0"/>
          <w:numId w:val="1018"/>
        </w:numPr>
        <w:pStyle w:val="Compact"/>
      </w:pPr>
      <w:r>
        <w:rPr>
          <w:rStyle w:val="VerbatimChar"/>
        </w:rPr>
        <w:t xml:space="preserve">co_dominant_issues</w:t>
      </w:r>
      <w:r>
        <w:t xml:space="preserve">: all hazards tied at the maximum;</w:t>
      </w:r>
    </w:p>
    <w:p>
      <w:pPr>
        <w:numPr>
          <w:ilvl w:val="0"/>
          <w:numId w:val="1018"/>
        </w:numPr>
        <w:pStyle w:val="Compact"/>
      </w:pPr>
      <w:r>
        <w:rPr>
          <w:rStyle w:val="VerbatimChar"/>
        </w:rPr>
        <w:t xml:space="preserve">elevated_issues</w:t>
      </w:r>
      <w:r>
        <w:t xml:space="preserve">: all hazards at</w:t>
      </w:r>
      <w:r>
        <w:t xml:space="preserve"> </w:t>
      </w:r>
      <w:r>
        <w:rPr>
          <w:rStyle w:val="VerbatimChar"/>
        </w:rPr>
        <w:t xml:space="preserve">high_risk</w:t>
      </w:r>
      <w:r>
        <w:t xml:space="preserve"> </w:t>
      </w:r>
      <w:r>
        <w:t xml:space="preserve">or</w:t>
      </w:r>
      <w:r>
        <w:t xml:space="preserve"> </w:t>
      </w:r>
      <w:r>
        <w:rPr>
          <w:rStyle w:val="VerbatimChar"/>
        </w:rPr>
        <w:t xml:space="preserve">severe</w:t>
      </w:r>
      <w:r>
        <w:t xml:space="preserve">;</w:t>
      </w:r>
    </w:p>
    <w:p>
      <w:pPr>
        <w:numPr>
          <w:ilvl w:val="0"/>
          <w:numId w:val="1018"/>
        </w:numPr>
        <w:pStyle w:val="Compact"/>
      </w:pPr>
      <w:r>
        <w:rPr>
          <w:rStyle w:val="VerbatimChar"/>
        </w:rPr>
        <w:t xml:space="preserve">elevated_hazard_count</w:t>
      </w:r>
      <w:r>
        <w:t xml:space="preserve">: length of</w:t>
      </w:r>
      <w:r>
        <w:t xml:space="preserve"> </w:t>
      </w:r>
      <w:r>
        <w:rPr>
          <w:rStyle w:val="VerbatimChar"/>
        </w:rPr>
        <w:t xml:space="preserve">elevated_issues</w:t>
      </w:r>
      <w:r>
        <w:t xml:space="preserve">;</w:t>
      </w:r>
    </w:p>
    <w:p>
      <w:pPr>
        <w:numPr>
          <w:ilvl w:val="0"/>
          <w:numId w:val="1018"/>
        </w:numPr>
        <w:pStyle w:val="Compact"/>
      </w:pPr>
      <w:r>
        <w:rPr>
          <w:rStyle w:val="VerbatimChar"/>
        </w:rPr>
        <w:t xml:space="preserve">compound_risk_flag</w:t>
      </w:r>
      <w:r>
        <w:t xml:space="preserve">: true when at least two hazards are elevated;</w:t>
      </w:r>
    </w:p>
    <w:p>
      <w:pPr>
        <w:numPr>
          <w:ilvl w:val="0"/>
          <w:numId w:val="1018"/>
        </w:numPr>
        <w:pStyle w:val="Compact"/>
      </w:pPr>
      <w:r>
        <w:rPr>
          <w:rStyle w:val="VerbatimChar"/>
        </w:rPr>
        <w:t xml:space="preserve">risk_completeness_fraction</w:t>
      </w:r>
      <w:r>
        <w:t xml:space="preserve">: available enabled hazards divided by enabled hazards;</w:t>
      </w:r>
    </w:p>
    <w:p>
      <w:pPr>
        <w:numPr>
          <w:ilvl w:val="0"/>
          <w:numId w:val="1018"/>
        </w:numPr>
        <w:pStyle w:val="Compact"/>
      </w:pPr>
      <w:r>
        <w:rPr>
          <w:rStyle w:val="VerbatimChar"/>
        </w:rPr>
        <w:t xml:space="preserve">overall_action_level_provisional</w:t>
      </w:r>
      <w:r>
        <w:t xml:space="preserve">: true when completeness is below 1.</w:t>
      </w:r>
    </w:p>
    <w:p>
      <w:pPr>
        <w:pStyle w:val="FirstParagraph"/>
      </w:pPr>
      <w:r>
        <w:t xml:space="preserve">The old name</w:t>
      </w:r>
      <w:r>
        <w:t xml:space="preserve"> </w:t>
      </w:r>
      <w:r>
        <w:rPr>
          <w:rStyle w:val="VerbatimChar"/>
        </w:rPr>
        <w:t xml:space="preserve">combined_public_space_risk_level</w:t>
      </w:r>
      <w:r>
        <w:t xml:space="preserve"> </w:t>
      </w:r>
      <w:r>
        <w:t xml:space="preserve">MAY be emitted as a deprecated alias for backward compatibility, but new code SHALL use</w:t>
      </w:r>
      <w:r>
        <w:t xml:space="preserve"> </w:t>
      </w:r>
      <w:r>
        <w:rPr>
          <w:rStyle w:val="VerbatimChar"/>
        </w:rPr>
        <w:t xml:space="preserve">overall_action_level</w:t>
      </w:r>
      <w:r>
        <w:t xml:space="preserve">.</w:t>
      </w:r>
    </w:p>
    <w:p>
      <w:pPr>
        <w:pStyle w:val="BodyText"/>
      </w:pPr>
      <w:r>
        <w:t xml:space="preserve">If every enabled hazard is</w:t>
      </w:r>
      <w:r>
        <w:t xml:space="preserve"> </w:t>
      </w:r>
      <w:r>
        <w:rPr>
          <w:rStyle w:val="VerbatimChar"/>
        </w:rPr>
        <w:t xml:space="preserve">unavailable</w:t>
      </w:r>
      <w:r>
        <w:t xml:space="preserve">, then</w:t>
      </w:r>
      <w:r>
        <w:t xml:space="preserve"> </w:t>
      </w:r>
      <w:r>
        <w:rPr>
          <w:rStyle w:val="VerbatimChar"/>
        </w:rPr>
        <w:t xml:space="preserve">overall_action_level</w:t>
      </w:r>
      <w:r>
        <w:t xml:space="preserve"> </w:t>
      </w:r>
      <w:r>
        <w:t xml:space="preserve">is</w:t>
      </w:r>
      <w:r>
        <w:t xml:space="preserve"> </w:t>
      </w:r>
      <w:r>
        <w:rPr>
          <w:rStyle w:val="VerbatimChar"/>
        </w:rPr>
        <w:t xml:space="preserve">unavailable</w:t>
      </w:r>
      <w:r>
        <w:t xml:space="preserve"> </w:t>
      </w:r>
      <w:r>
        <w:t xml:space="preserve">(serialized as null),</w:t>
      </w:r>
      <w:r>
        <w:t xml:space="preserve"> </w:t>
      </w:r>
      <w:r>
        <w:rPr>
          <w:rStyle w:val="VerbatimChar"/>
        </w:rPr>
        <w:t xml:space="preserve">risk_completeness_fraction</w:t>
      </w:r>
      <w:r>
        <w:t xml:space="preserve"> </w:t>
      </w:r>
      <w:r>
        <w:t xml:space="preserve">is 0,</w:t>
      </w:r>
      <w:r>
        <w:t xml:space="preserve"> </w:t>
      </w:r>
      <w:r>
        <w:rPr>
          <w:rStyle w:val="VerbatimChar"/>
        </w:rPr>
        <w:t xml:space="preserve">overall_action_level_provisional</w:t>
      </w:r>
      <w:r>
        <w:t xml:space="preserve"> </w:t>
      </w:r>
      <w:r>
        <w:t xml:space="preserve">is true, and the communication layer emits the</w:t>
      </w:r>
      <w:r>
        <w:t xml:space="preserve"> </w:t>
      </w:r>
      <w:r>
        <w:rPr>
          <w:rStyle w:val="VerbatimChar"/>
        </w:rPr>
        <w:t xml:space="preserve">insufficient_data</w:t>
      </w:r>
      <w:r>
        <w:t xml:space="preserve"> </w:t>
      </w:r>
      <w:r>
        <w:t xml:space="preserve">template.</w:t>
      </w:r>
      <w:r>
        <w:t xml:space="preserve"> </w:t>
      </w:r>
      <w:r>
        <w:rPr>
          <w:rStyle w:val="VerbatimChar"/>
        </w:rPr>
        <w:t xml:space="preserve">elevated_hazard_count</w:t>
      </w:r>
      <w:r>
        <w:t xml:space="preserve"> </w:t>
      </w:r>
      <w:r>
        <w:t xml:space="preserve">counts elevated hazards among the available components and is 0 in that case.</w:t>
      </w:r>
    </w:p>
    <w:p>
      <w:pPr>
        <w:pStyle w:val="BodyText"/>
      </w:pPr>
      <w:r>
        <w:t xml:space="preserve">The maximum is an operational action aggregation rule. It MUST NOT be presented as a quantitatively calibrated combined health risk.</w:t>
      </w:r>
    </w:p>
    <w:bookmarkEnd w:id="75"/>
    <w:bookmarkStart w:id="76" w:name="immediate-risk-communication"/>
    <w:p>
      <w:pPr>
        <w:pStyle w:val="Heading2"/>
      </w:pPr>
      <w:r>
        <w:t xml:space="preserve">8.6 Immediate risk communication</w:t>
      </w:r>
    </w:p>
    <w:p>
      <w:pPr>
        <w:pStyle w:val="FirstParagraph"/>
      </w:pPr>
      <w:r>
        <w:t xml:space="preserve">A per-step message is generated from the overall level, elevated hazards, and available audiences. The output MUST store a message-template identifier and all trigger values.</w:t>
      </w:r>
    </w:p>
    <w:p>
      <w:pPr>
        <w:pStyle w:val="BodyText"/>
      </w:pPr>
      <w:r>
        <w:t xml:space="preserve">Air-quality messages distinguish immediate exposure reduction from long-term mobility policy. During an elevated episode, baseline guidance is to alter time, route, or activity intensity and move away from traffic exposure; it SHALL NOT simply promote more exertion in polluted conditions.</w:t>
      </w:r>
    </w:p>
    <w:bookmarkEnd w:id="76"/>
    <w:bookmarkStart w:id="77" w:name="decision-timing-modes"/>
    <w:p>
      <w:pPr>
        <w:pStyle w:val="Heading2"/>
      </w:pPr>
      <w:r>
        <w:t xml:space="preserve">8.7 Decision timing modes</w:t>
      </w:r>
    </w:p>
    <w:p>
      <w:pPr>
        <w:pStyle w:val="FirstParagraph"/>
      </w:pPr>
      <w:r>
        <w:t xml:space="preserve">Every decision object declares:</w:t>
      </w:r>
    </w:p>
    <w:p>
      <w:pPr>
        <w:numPr>
          <w:ilvl w:val="0"/>
          <w:numId w:val="1019"/>
        </w:numPr>
        <w:pStyle w:val="Compact"/>
      </w:pPr>
      <w:r>
        <w:rPr>
          <w:rStyle w:val="VerbatimChar"/>
        </w:rPr>
        <w:t xml:space="preserve">decision_mode</w:t>
      </w:r>
      <w:r>
        <w:t xml:space="preserve">:</w:t>
      </w:r>
      <w:r>
        <w:t xml:space="preserve"> </w:t>
      </w:r>
      <w:r>
        <w:rPr>
          <w:rStyle w:val="VerbatimChar"/>
        </w:rPr>
        <w:t xml:space="preserve">nowcast</w:t>
      </w:r>
      <w:r>
        <w:t xml:space="preserve">,</w:t>
      </w:r>
      <w:r>
        <w:t xml:space="preserve"> </w:t>
      </w:r>
      <w:r>
        <w:rPr>
          <w:rStyle w:val="VerbatimChar"/>
        </w:rPr>
        <w:t xml:space="preserve">forecast</w:t>
      </w:r>
      <w:r>
        <w:t xml:space="preserve">, or</w:t>
      </w:r>
      <w:r>
        <w:t xml:space="preserve"> </w:t>
      </w:r>
      <w:r>
        <w:rPr>
          <w:rStyle w:val="VerbatimChar"/>
        </w:rPr>
        <w:t xml:space="preserve">ex_post</w:t>
      </w:r>
      <w:r>
        <w:t xml:space="preserve">;</w:t>
      </w:r>
    </w:p>
    <w:p>
      <w:pPr>
        <w:numPr>
          <w:ilvl w:val="0"/>
          <w:numId w:val="1019"/>
        </w:numPr>
        <w:pStyle w:val="Compact"/>
      </w:pPr>
      <w:r>
        <w:rPr>
          <w:rStyle w:val="VerbatimChar"/>
        </w:rPr>
        <w:t xml:space="preserve">issued_at</w:t>
      </w:r>
      <w:r>
        <w:t xml:space="preserve">;</w:t>
      </w:r>
    </w:p>
    <w:p>
      <w:pPr>
        <w:numPr>
          <w:ilvl w:val="0"/>
          <w:numId w:val="1019"/>
        </w:numPr>
        <w:pStyle w:val="Compact"/>
      </w:pPr>
      <w:r>
        <w:rPr>
          <w:rStyle w:val="VerbatimChar"/>
        </w:rPr>
        <w:t xml:space="preserve">valid_from</w:t>
      </w:r>
      <w:r>
        <w:t xml:space="preserve"> </w:t>
      </w:r>
      <w:r>
        <w:t xml:space="preserve">and</w:t>
      </w:r>
      <w:r>
        <w:t xml:space="preserve"> </w:t>
      </w:r>
      <w:r>
        <w:rPr>
          <w:rStyle w:val="VerbatimChar"/>
        </w:rPr>
        <w:t xml:space="preserve">valid_to</w:t>
      </w:r>
      <w:r>
        <w:t xml:space="preserve">;</w:t>
      </w:r>
    </w:p>
    <w:p>
      <w:pPr>
        <w:numPr>
          <w:ilvl w:val="0"/>
          <w:numId w:val="1019"/>
        </w:numPr>
        <w:pStyle w:val="Compact"/>
      </w:pPr>
      <w:r>
        <w:rPr>
          <w:rStyle w:val="VerbatimChar"/>
        </w:rPr>
        <w:t xml:space="preserve">forecast_lead_minutes</w:t>
      </w:r>
      <w:r>
        <w:t xml:space="preserve">, when mode is</w:t>
      </w:r>
      <w:r>
        <w:t xml:space="preserve"> </w:t>
      </w:r>
      <w:r>
        <w:rPr>
          <w:rStyle w:val="VerbatimChar"/>
        </w:rPr>
        <w:t xml:space="preserve">forecast</w:t>
      </w:r>
      <w:r>
        <w:t xml:space="preserve">;</w:t>
      </w:r>
    </w:p>
    <w:p>
      <w:pPr>
        <w:numPr>
          <w:ilvl w:val="0"/>
          <w:numId w:val="1019"/>
        </w:numPr>
        <w:pStyle w:val="Compact"/>
      </w:pPr>
      <w:r>
        <w:rPr>
          <w:rStyle w:val="VerbatimChar"/>
        </w:rPr>
        <w:t xml:space="preserve">forecast_model_version</w:t>
      </w:r>
      <w:r>
        <w:t xml:space="preserve">, when mode is</w:t>
      </w:r>
      <w:r>
        <w:t xml:space="preserve"> </w:t>
      </w:r>
      <w:r>
        <w:rPr>
          <w:rStyle w:val="VerbatimChar"/>
        </w:rPr>
        <w:t xml:space="preserve">forecast</w:t>
      </w:r>
      <w:r>
        <w:t xml:space="preserve">.</w:t>
      </w:r>
    </w:p>
    <w:p>
      <w:pPr>
        <w:pStyle w:val="FirstParagraph"/>
      </w:pPr>
      <w:r>
        <w:t xml:space="preserve">A strategy reconstructed from realized future data MUST use</w:t>
      </w:r>
      <w:r>
        <w:t xml:space="preserve"> </w:t>
      </w:r>
      <w:r>
        <w:rPr>
          <w:rStyle w:val="VerbatimChar"/>
        </w:rPr>
        <w:t xml:space="preserve">ex_post</w:t>
      </w:r>
      <w:r>
        <w:t xml:space="preserve">. It cannot claim advance notice unless a forecast layer generated the trigger using only information available at issuance time.</w:t>
      </w:r>
    </w:p>
    <w:bookmarkEnd w:id="77"/>
    <w:bookmarkStart w:id="78" w:name="risk-episodes"/>
    <w:p>
      <w:pPr>
        <w:pStyle w:val="Heading2"/>
      </w:pPr>
      <w:r>
        <w:t xml:space="preserve">8.8 Risk episodes</w:t>
      </w:r>
    </w:p>
    <w:p>
      <w:pPr>
        <w:pStyle w:val="FirstParagraph"/>
      </w:pPr>
      <w:r>
        <w:t xml:space="preserve">An episode is formed separately for each hazard-set condition. The algorithm is:</w:t>
      </w:r>
    </w:p>
    <w:p>
      <w:pPr>
        <w:numPr>
          <w:ilvl w:val="0"/>
          <w:numId w:val="1020"/>
        </w:numPr>
        <w:pStyle w:val="Compact"/>
      </w:pPr>
      <w:r>
        <w:t xml:space="preserve">Mark intervals whose overall action level is at least the configured</w:t>
      </w:r>
      <w:r>
        <w:t xml:space="preserve"> </w:t>
      </w:r>
      <w:r>
        <w:rPr>
          <w:rStyle w:val="VerbatimChar"/>
        </w:rPr>
        <w:t xml:space="preserve">episode_minimum_level</w:t>
      </w:r>
      <w:r>
        <w:t xml:space="preserve">.</w:t>
      </w:r>
    </w:p>
    <w:p>
      <w:pPr>
        <w:numPr>
          <w:ilvl w:val="0"/>
          <w:numId w:val="1020"/>
        </w:numPr>
        <w:pStyle w:val="Compact"/>
      </w:pPr>
      <w:r>
        <w:t xml:space="preserve">Form maximal contiguous runs with the same elevated-hazard set and same overall level.</w:t>
      </w:r>
    </w:p>
    <w:p>
      <w:pPr>
        <w:numPr>
          <w:ilvl w:val="0"/>
          <w:numId w:val="1020"/>
        </w:numPr>
        <w:pStyle w:val="Compact"/>
      </w:pPr>
      <w:r>
        <w:t xml:space="preserve">Drop runs shorter than</w:t>
      </w:r>
      <w:r>
        <w:t xml:space="preserve"> </w:t>
      </w:r>
      <w:r>
        <w:rPr>
          <w:rStyle w:val="VerbatimChar"/>
        </w:rPr>
        <w:t xml:space="preserve">minimum_episode_duration_minutes</w:t>
      </w:r>
      <w:r>
        <w:t xml:space="preserve">.</w:t>
      </w:r>
    </w:p>
    <w:p>
      <w:pPr>
        <w:numPr>
          <w:ilvl w:val="0"/>
          <w:numId w:val="1020"/>
        </w:numPr>
        <w:pStyle w:val="Compact"/>
      </w:pPr>
      <w:r>
        <w:t xml:space="preserve">Merge adjacent qualifying runs separated by no more than</w:t>
      </w:r>
      <w:r>
        <w:t xml:space="preserve"> </w:t>
      </w:r>
      <w:r>
        <w:rPr>
          <w:rStyle w:val="VerbatimChar"/>
        </w:rPr>
        <w:t xml:space="preserve">episode_merge_gap_minutes</w:t>
      </w:r>
      <w:r>
        <w:t xml:space="preserve"> </w:t>
      </w:r>
      <w:r>
        <w:t xml:space="preserve">if their elevated-hazard sets are identical; the merged peak is the worse level.</w:t>
      </w:r>
    </w:p>
    <w:p>
      <w:pPr>
        <w:numPr>
          <w:ilvl w:val="0"/>
          <w:numId w:val="1020"/>
        </w:numPr>
        <w:pStyle w:val="Compact"/>
      </w:pPr>
      <w:r>
        <w:t xml:space="preserve">Select audiences whose peak count is at least</w:t>
      </w:r>
      <w:r>
        <w:t xml:space="preserve"> </w:t>
      </w:r>
      <w:r>
        <w:rPr>
          <w:rStyle w:val="VerbatimChar"/>
        </w:rPr>
        <w:t xml:space="preserve">salience_threshold_persons</w:t>
      </w:r>
      <w:r>
        <w:t xml:space="preserve">.</w:t>
      </w:r>
    </w:p>
    <w:p>
      <w:pPr>
        <w:pStyle w:val="FirstParagraph"/>
      </w:pPr>
      <w:r>
        <w:t xml:space="preserve">Each episode stores exact start/end, duration, peak level, elevated hazards, peak audience count, and audience person-minutes. An episode truncated by the visible-horizon boundary is marked</w:t>
      </w:r>
      <w:r>
        <w:t xml:space="preserve"> </w:t>
      </w:r>
      <w:r>
        <w:rPr>
          <w:rStyle w:val="VerbatimChar"/>
        </w:rPr>
        <w:t xml:space="preserve">boundary_censored: true</w:t>
      </w:r>
      <w:r>
        <w:t xml:space="preserve">. The exact JSON field names of the episode object are pinned by the artifact-schema file of Section 9.5.</w:t>
      </w:r>
    </w:p>
    <w:p>
      <w:pPr>
        <w:pStyle w:val="BodyText"/>
      </w:pPr>
      <w:r>
        <w:t xml:space="preserve">Person-minutes are calculated by integrating active segment counts over exact interval overlap, not by multiplying a single peak count by duration.</w:t>
      </w:r>
    </w:p>
    <w:bookmarkEnd w:id="78"/>
    <w:bookmarkStart w:id="79" w:name="audience-hazard-sensitivity"/>
    <w:p>
      <w:pPr>
        <w:pStyle w:val="Heading2"/>
      </w:pPr>
      <w:r>
        <w:t xml:space="preserve">8.9 Audience-hazard sensitivity</w:t>
      </w:r>
    </w:p>
    <w:p>
      <w:pPr>
        <w:pStyle w:val="FirstParagraph"/>
      </w:pPr>
      <w:r>
        <w:t xml:space="preserve">The default matrix is configurable:</w:t>
      </w:r>
    </w:p>
    <w:p>
      <w:pPr>
        <w:pStyle w:val="SourceCode"/>
      </w:pPr>
      <w:r>
        <w:rPr>
          <w:rStyle w:val="FunctionTok"/>
        </w:rPr>
        <w:t xml:space="preserve">{</w:t>
      </w:r>
      <w:r>
        <w:br/>
      </w:r>
      <w:r>
        <w:rPr>
          <w:rStyle w:val="NormalTok"/>
        </w:rPr>
        <w:t xml:space="preserve">  </w:t>
      </w:r>
      <w:r>
        <w:rPr>
          <w:rStyle w:val="DataTypeTok"/>
        </w:rPr>
        <w:t xml:space="preserve">"general_public"</w:t>
      </w:r>
      <w:r>
        <w:rPr>
          <w:rStyle w:val="FunctionTok"/>
        </w:rPr>
        <w:t xml:space="preserve">:</w:t>
      </w:r>
      <w:r>
        <w:rPr>
          <w:rStyle w:val="NormalTok"/>
        </w:rPr>
        <w:t xml:space="preserve">  </w:t>
      </w:r>
      <w:r>
        <w:rPr>
          <w:rStyle w:val="FunctionTok"/>
        </w:rPr>
        <w:t xml:space="preserve">{</w:t>
      </w:r>
      <w:r>
        <w:rPr>
          <w:rStyle w:val="DataTypeTok"/>
        </w:rPr>
        <w:t xml:space="preserve">"thermal"</w:t>
      </w:r>
      <w:r>
        <w:rPr>
          <w:rStyle w:val="FunctionTok"/>
        </w:rPr>
        <w:t xml:space="preserve">:</w:t>
      </w:r>
      <w:r>
        <w:rPr>
          <w:rStyle w:val="FloatTok"/>
        </w:rPr>
        <w:t xml:space="preserve">1.0</w:t>
      </w:r>
      <w:r>
        <w:rPr>
          <w:rStyle w:val="FunctionTok"/>
        </w:rPr>
        <w:t xml:space="preserve">,</w:t>
      </w:r>
      <w:r>
        <w:rPr>
          <w:rStyle w:val="DataTypeTok"/>
        </w:rPr>
        <w:t xml:space="preserve">"air_quality"</w:t>
      </w:r>
      <w:r>
        <w:rPr>
          <w:rStyle w:val="FunctionTok"/>
        </w:rPr>
        <w:t xml:space="preserve">:</w:t>
      </w:r>
      <w:r>
        <w:rPr>
          <w:rStyle w:val="FloatTok"/>
        </w:rPr>
        <w:t xml:space="preserve">1.0</w:t>
      </w:r>
      <w:r>
        <w:rPr>
          <w:rStyle w:val="FunctionTok"/>
        </w:rPr>
        <w:t xml:space="preserve">,</w:t>
      </w:r>
      <w:r>
        <w:rPr>
          <w:rStyle w:val="DataTypeTok"/>
        </w:rPr>
        <w:t xml:space="preserve">"noise"</w:t>
      </w:r>
      <w:r>
        <w:rPr>
          <w:rStyle w:val="FunctionTok"/>
        </w:rPr>
        <w:t xml:space="preserve">:</w:t>
      </w:r>
      <w:r>
        <w:rPr>
          <w:rStyle w:val="FloatTok"/>
        </w:rPr>
        <w:t xml:space="preserve">1.0</w:t>
      </w:r>
      <w:r>
        <w:rPr>
          <w:rStyle w:val="FunctionTok"/>
        </w:rPr>
        <w:t xml:space="preserve">,</w:t>
      </w:r>
      <w:r>
        <w:rPr>
          <w:rStyle w:val="DataTypeTok"/>
        </w:rPr>
        <w:t xml:space="preserve">"crowding"</w:t>
      </w:r>
      <w:r>
        <w:rPr>
          <w:rStyle w:val="FunctionTok"/>
        </w:rPr>
        <w:t xml:space="preserve">:</w:t>
      </w:r>
      <w:r>
        <w:rPr>
          <w:rStyle w:val="FloatTok"/>
        </w:rPr>
        <w:t xml:space="preserve">1.0</w:t>
      </w:r>
      <w:r>
        <w:rPr>
          <w:rStyle w:val="FunctionTok"/>
        </w:rPr>
        <w:t xml:space="preserve">},</w:t>
      </w:r>
      <w:r>
        <w:br/>
      </w:r>
      <w:r>
        <w:rPr>
          <w:rStyle w:val="NormalTok"/>
        </w:rPr>
        <w:t xml:space="preserve">  </w:t>
      </w:r>
      <w:r>
        <w:rPr>
          <w:rStyle w:val="DataTypeTok"/>
        </w:rPr>
        <w:t xml:space="preserve">"families"</w:t>
      </w:r>
      <w:r>
        <w:rPr>
          <w:rStyle w:val="FunctionTok"/>
        </w:rPr>
        <w:t xml:space="preserve">:</w:t>
      </w:r>
      <w:r>
        <w:rPr>
          <w:rStyle w:val="NormalTok"/>
        </w:rPr>
        <w:t xml:space="preserve">        </w:t>
      </w:r>
      <w:r>
        <w:rPr>
          <w:rStyle w:val="FunctionTok"/>
        </w:rPr>
        <w:t xml:space="preserve">{</w:t>
      </w:r>
      <w:r>
        <w:rPr>
          <w:rStyle w:val="DataTypeTok"/>
        </w:rPr>
        <w:t xml:space="preserve">"thermal"</w:t>
      </w:r>
      <w:r>
        <w:rPr>
          <w:rStyle w:val="FunctionTok"/>
        </w:rPr>
        <w:t xml:space="preserve">:</w:t>
      </w:r>
      <w:r>
        <w:rPr>
          <w:rStyle w:val="FloatTok"/>
        </w:rPr>
        <w:t xml:space="preserve">1.2</w:t>
      </w:r>
      <w:r>
        <w:rPr>
          <w:rStyle w:val="FunctionTok"/>
        </w:rPr>
        <w:t xml:space="preserve">,</w:t>
      </w:r>
      <w:r>
        <w:rPr>
          <w:rStyle w:val="DataTypeTok"/>
        </w:rPr>
        <w:t xml:space="preserve">"air_quality"</w:t>
      </w:r>
      <w:r>
        <w:rPr>
          <w:rStyle w:val="FunctionTok"/>
        </w:rPr>
        <w:t xml:space="preserve">:</w:t>
      </w:r>
      <w:r>
        <w:rPr>
          <w:rStyle w:val="FloatTok"/>
        </w:rPr>
        <w:t xml:space="preserve">1.2</w:t>
      </w:r>
      <w:r>
        <w:rPr>
          <w:rStyle w:val="FunctionTok"/>
        </w:rPr>
        <w:t xml:space="preserve">,</w:t>
      </w:r>
      <w:r>
        <w:rPr>
          <w:rStyle w:val="DataTypeTok"/>
        </w:rPr>
        <w:t xml:space="preserve">"noise"</w:t>
      </w:r>
      <w:r>
        <w:rPr>
          <w:rStyle w:val="FunctionTok"/>
        </w:rPr>
        <w:t xml:space="preserve">:</w:t>
      </w:r>
      <w:r>
        <w:rPr>
          <w:rStyle w:val="FloatTok"/>
        </w:rPr>
        <w:t xml:space="preserve">1.1</w:t>
      </w:r>
      <w:r>
        <w:rPr>
          <w:rStyle w:val="FunctionTok"/>
        </w:rPr>
        <w:t xml:space="preserve">,</w:t>
      </w:r>
      <w:r>
        <w:rPr>
          <w:rStyle w:val="DataTypeTok"/>
        </w:rPr>
        <w:t xml:space="preserve">"crowding"</w:t>
      </w:r>
      <w:r>
        <w:rPr>
          <w:rStyle w:val="FunctionTok"/>
        </w:rPr>
        <w:t xml:space="preserve">:</w:t>
      </w:r>
      <w:r>
        <w:rPr>
          <w:rStyle w:val="FloatTok"/>
        </w:rPr>
        <w:t xml:space="preserve">1.2</w:t>
      </w:r>
      <w:r>
        <w:rPr>
          <w:rStyle w:val="FunctionTok"/>
        </w:rPr>
        <w:t xml:space="preserve">},</w:t>
      </w:r>
      <w:r>
        <w:br/>
      </w:r>
      <w:r>
        <w:rPr>
          <w:rStyle w:val="NormalTok"/>
        </w:rPr>
        <w:t xml:space="preserve">  </w:t>
      </w:r>
      <w:r>
        <w:rPr>
          <w:rStyle w:val="DataTypeTok"/>
        </w:rPr>
        <w:t xml:space="preserve">"elderly"</w:t>
      </w:r>
      <w:r>
        <w:rPr>
          <w:rStyle w:val="FunctionTok"/>
        </w:rPr>
        <w:t xml:space="preserve">:</w:t>
      </w:r>
      <w:r>
        <w:rPr>
          <w:rStyle w:val="NormalTok"/>
        </w:rPr>
        <w:t xml:space="preserve">         </w:t>
      </w:r>
      <w:r>
        <w:rPr>
          <w:rStyle w:val="FunctionTok"/>
        </w:rPr>
        <w:t xml:space="preserve">{</w:t>
      </w:r>
      <w:r>
        <w:rPr>
          <w:rStyle w:val="DataTypeTok"/>
        </w:rPr>
        <w:t xml:space="preserve">"thermal"</w:t>
      </w:r>
      <w:r>
        <w:rPr>
          <w:rStyle w:val="FunctionTok"/>
        </w:rPr>
        <w:t xml:space="preserve">:</w:t>
      </w:r>
      <w:r>
        <w:rPr>
          <w:rStyle w:val="FloatTok"/>
        </w:rPr>
        <w:t xml:space="preserve">1.4</w:t>
      </w:r>
      <w:r>
        <w:rPr>
          <w:rStyle w:val="FunctionTok"/>
        </w:rPr>
        <w:t xml:space="preserve">,</w:t>
      </w:r>
      <w:r>
        <w:rPr>
          <w:rStyle w:val="DataTypeTok"/>
        </w:rPr>
        <w:t xml:space="preserve">"air_quality"</w:t>
      </w:r>
      <w:r>
        <w:rPr>
          <w:rStyle w:val="FunctionTok"/>
        </w:rPr>
        <w:t xml:space="preserve">:</w:t>
      </w:r>
      <w:r>
        <w:rPr>
          <w:rStyle w:val="FloatTok"/>
        </w:rPr>
        <w:t xml:space="preserve">1.4</w:t>
      </w:r>
      <w:r>
        <w:rPr>
          <w:rStyle w:val="FunctionTok"/>
        </w:rPr>
        <w:t xml:space="preserve">,</w:t>
      </w:r>
      <w:r>
        <w:rPr>
          <w:rStyle w:val="DataTypeTok"/>
        </w:rPr>
        <w:t xml:space="preserve">"noise"</w:t>
      </w:r>
      <w:r>
        <w:rPr>
          <w:rStyle w:val="FunctionTok"/>
        </w:rPr>
        <w:t xml:space="preserve">:</w:t>
      </w:r>
      <w:r>
        <w:rPr>
          <w:rStyle w:val="FloatTok"/>
        </w:rPr>
        <w:t xml:space="preserve">1.1</w:t>
      </w:r>
      <w:r>
        <w:rPr>
          <w:rStyle w:val="FunctionTok"/>
        </w:rPr>
        <w:t xml:space="preserve">,</w:t>
      </w:r>
      <w:r>
        <w:rPr>
          <w:rStyle w:val="DataTypeTok"/>
        </w:rPr>
        <w:t xml:space="preserve">"crowding"</w:t>
      </w:r>
      <w:r>
        <w:rPr>
          <w:rStyle w:val="FunctionTok"/>
        </w:rPr>
        <w:t xml:space="preserve">:</w:t>
      </w:r>
      <w:r>
        <w:rPr>
          <w:rStyle w:val="FloatTok"/>
        </w:rPr>
        <w:t xml:space="preserve">1.2</w:t>
      </w:r>
      <w:r>
        <w:rPr>
          <w:rStyle w:val="FunctionTok"/>
        </w:rPr>
        <w:t xml:space="preserve">},</w:t>
      </w:r>
      <w:r>
        <w:br/>
      </w:r>
      <w:r>
        <w:rPr>
          <w:rStyle w:val="NormalTok"/>
        </w:rPr>
        <w:t xml:space="preserve">  </w:t>
      </w:r>
      <w:r>
        <w:rPr>
          <w:rStyle w:val="DataTypeTok"/>
        </w:rPr>
        <w:t xml:space="preserve">"students"</w:t>
      </w:r>
      <w:r>
        <w:rPr>
          <w:rStyle w:val="FunctionTok"/>
        </w:rPr>
        <w:t xml:space="preserve">:</w:t>
      </w:r>
      <w:r>
        <w:rPr>
          <w:rStyle w:val="NormalTok"/>
        </w:rPr>
        <w:t xml:space="preserve">        </w:t>
      </w:r>
      <w:r>
        <w:rPr>
          <w:rStyle w:val="FunctionTok"/>
        </w:rPr>
        <w:t xml:space="preserve">{</w:t>
      </w:r>
      <w:r>
        <w:rPr>
          <w:rStyle w:val="DataTypeTok"/>
        </w:rPr>
        <w:t xml:space="preserve">"thermal"</w:t>
      </w:r>
      <w:r>
        <w:rPr>
          <w:rStyle w:val="FunctionTok"/>
        </w:rPr>
        <w:t xml:space="preserve">:</w:t>
      </w:r>
      <w:r>
        <w:rPr>
          <w:rStyle w:val="FloatTok"/>
        </w:rPr>
        <w:t xml:space="preserve">1.0</w:t>
      </w:r>
      <w:r>
        <w:rPr>
          <w:rStyle w:val="FunctionTok"/>
        </w:rPr>
        <w:t xml:space="preserve">,</w:t>
      </w:r>
      <w:r>
        <w:rPr>
          <w:rStyle w:val="DataTypeTok"/>
        </w:rPr>
        <w:t xml:space="preserve">"air_quality"</w:t>
      </w:r>
      <w:r>
        <w:rPr>
          <w:rStyle w:val="FunctionTok"/>
        </w:rPr>
        <w:t xml:space="preserve">:</w:t>
      </w:r>
      <w:r>
        <w:rPr>
          <w:rStyle w:val="FloatTok"/>
        </w:rPr>
        <w:t xml:space="preserve">1.0</w:t>
      </w:r>
      <w:r>
        <w:rPr>
          <w:rStyle w:val="FunctionTok"/>
        </w:rPr>
        <w:t xml:space="preserve">,</w:t>
      </w:r>
      <w:r>
        <w:rPr>
          <w:rStyle w:val="DataTypeTok"/>
        </w:rPr>
        <w:t xml:space="preserve">"noise"</w:t>
      </w:r>
      <w:r>
        <w:rPr>
          <w:rStyle w:val="FunctionTok"/>
        </w:rPr>
        <w:t xml:space="preserve">:</w:t>
      </w:r>
      <w:r>
        <w:rPr>
          <w:rStyle w:val="FloatTok"/>
        </w:rPr>
        <w:t xml:space="preserve">1.0</w:t>
      </w:r>
      <w:r>
        <w:rPr>
          <w:rStyle w:val="FunctionTok"/>
        </w:rPr>
        <w:t xml:space="preserve">,</w:t>
      </w:r>
      <w:r>
        <w:rPr>
          <w:rStyle w:val="DataTypeTok"/>
        </w:rPr>
        <w:t xml:space="preserve">"crowding"</w:t>
      </w:r>
      <w:r>
        <w:rPr>
          <w:rStyle w:val="FunctionTok"/>
        </w:rPr>
        <w:t xml:space="preserve">:</w:t>
      </w:r>
      <w:r>
        <w:rPr>
          <w:rStyle w:val="FloatTok"/>
        </w:rPr>
        <w:t xml:space="preserve">1.0</w:t>
      </w:r>
      <w:r>
        <w:rPr>
          <w:rStyle w:val="FunctionTok"/>
        </w:rPr>
        <w:t xml:space="preserve">},</w:t>
      </w:r>
      <w:r>
        <w:br/>
      </w:r>
      <w:r>
        <w:rPr>
          <w:rStyle w:val="NormalTok"/>
        </w:rPr>
        <w:t xml:space="preserve">  </w:t>
      </w:r>
      <w:r>
        <w:rPr>
          <w:rStyle w:val="DataTypeTok"/>
        </w:rPr>
        <w:t xml:space="preserve">"commuters"</w:t>
      </w:r>
      <w:r>
        <w:rPr>
          <w:rStyle w:val="FunctionTok"/>
        </w:rPr>
        <w:t xml:space="preserve">:</w:t>
      </w:r>
      <w:r>
        <w:rPr>
          <w:rStyle w:val="NormalTok"/>
        </w:rPr>
        <w:t xml:space="preserve">       </w:t>
      </w:r>
      <w:r>
        <w:rPr>
          <w:rStyle w:val="FunctionTok"/>
        </w:rPr>
        <w:t xml:space="preserve">{</w:t>
      </w:r>
      <w:r>
        <w:rPr>
          <w:rStyle w:val="DataTypeTok"/>
        </w:rPr>
        <w:t xml:space="preserve">"thermal"</w:t>
      </w:r>
      <w:r>
        <w:rPr>
          <w:rStyle w:val="FunctionTok"/>
        </w:rPr>
        <w:t xml:space="preserve">:</w:t>
      </w:r>
      <w:r>
        <w:rPr>
          <w:rStyle w:val="FloatTok"/>
        </w:rPr>
        <w:t xml:space="preserve">1.0</w:t>
      </w:r>
      <w:r>
        <w:rPr>
          <w:rStyle w:val="FunctionTok"/>
        </w:rPr>
        <w:t xml:space="preserve">,</w:t>
      </w:r>
      <w:r>
        <w:rPr>
          <w:rStyle w:val="DataTypeTok"/>
        </w:rPr>
        <w:t xml:space="preserve">"air_quality"</w:t>
      </w:r>
      <w:r>
        <w:rPr>
          <w:rStyle w:val="FunctionTok"/>
        </w:rPr>
        <w:t xml:space="preserve">:</w:t>
      </w:r>
      <w:r>
        <w:rPr>
          <w:rStyle w:val="FloatTok"/>
        </w:rPr>
        <w:t xml:space="preserve">1.1</w:t>
      </w:r>
      <w:r>
        <w:rPr>
          <w:rStyle w:val="FunctionTok"/>
        </w:rPr>
        <w:t xml:space="preserve">,</w:t>
      </w:r>
      <w:r>
        <w:rPr>
          <w:rStyle w:val="DataTypeTok"/>
        </w:rPr>
        <w:t xml:space="preserve">"noise"</w:t>
      </w:r>
      <w:r>
        <w:rPr>
          <w:rStyle w:val="FunctionTok"/>
        </w:rPr>
        <w:t xml:space="preserve">:</w:t>
      </w:r>
      <w:r>
        <w:rPr>
          <w:rStyle w:val="FloatTok"/>
        </w:rPr>
        <w:t xml:space="preserve">1.0</w:t>
      </w:r>
      <w:r>
        <w:rPr>
          <w:rStyle w:val="FunctionTok"/>
        </w:rPr>
        <w:t xml:space="preserve">,</w:t>
      </w:r>
      <w:r>
        <w:rPr>
          <w:rStyle w:val="DataTypeTok"/>
        </w:rPr>
        <w:t xml:space="preserve">"crowding"</w:t>
      </w:r>
      <w:r>
        <w:rPr>
          <w:rStyle w:val="FunctionTok"/>
        </w:rPr>
        <w:t xml:space="preserve">:</w:t>
      </w:r>
      <w:r>
        <w:rPr>
          <w:rStyle w:val="FloatTok"/>
        </w:rPr>
        <w:t xml:space="preserve">1.1</w:t>
      </w:r>
      <w:r>
        <w:rPr>
          <w:rStyle w:val="FunctionTok"/>
        </w:rPr>
        <w:t xml:space="preserve">},</w:t>
      </w:r>
      <w:r>
        <w:br/>
      </w:r>
      <w:r>
        <w:rPr>
          <w:rStyle w:val="NormalTok"/>
        </w:rPr>
        <w:t xml:space="preserve">  </w:t>
      </w:r>
      <w:r>
        <w:rPr>
          <w:rStyle w:val="DataTypeTok"/>
        </w:rPr>
        <w:t xml:space="preserve">"event_attendees"</w:t>
      </w:r>
      <w:r>
        <w:rPr>
          <w:rStyle w:val="FunctionTok"/>
        </w:rPr>
        <w:t xml:space="preserve">:</w:t>
      </w:r>
      <w:r>
        <w:rPr>
          <w:rStyle w:val="NormalTok"/>
        </w:rPr>
        <w:t xml:space="preserve"> </w:t>
      </w:r>
      <w:r>
        <w:rPr>
          <w:rStyle w:val="FunctionTok"/>
        </w:rPr>
        <w:t xml:space="preserve">{</w:t>
      </w:r>
      <w:r>
        <w:rPr>
          <w:rStyle w:val="DataTypeTok"/>
        </w:rPr>
        <w:t xml:space="preserve">"thermal"</w:t>
      </w:r>
      <w:r>
        <w:rPr>
          <w:rStyle w:val="FunctionTok"/>
        </w:rPr>
        <w:t xml:space="preserve">:</w:t>
      </w:r>
      <w:r>
        <w:rPr>
          <w:rStyle w:val="FloatTok"/>
        </w:rPr>
        <w:t xml:space="preserve">1.1</w:t>
      </w:r>
      <w:r>
        <w:rPr>
          <w:rStyle w:val="FunctionTok"/>
        </w:rPr>
        <w:t xml:space="preserve">,</w:t>
      </w:r>
      <w:r>
        <w:rPr>
          <w:rStyle w:val="DataTypeTok"/>
        </w:rPr>
        <w:t xml:space="preserve">"air_quality"</w:t>
      </w:r>
      <w:r>
        <w:rPr>
          <w:rStyle w:val="FunctionTok"/>
        </w:rPr>
        <w:t xml:space="preserve">:</w:t>
      </w:r>
      <w:r>
        <w:rPr>
          <w:rStyle w:val="FloatTok"/>
        </w:rPr>
        <w:t xml:space="preserve">1.0</w:t>
      </w:r>
      <w:r>
        <w:rPr>
          <w:rStyle w:val="FunctionTok"/>
        </w:rPr>
        <w:t xml:space="preserve">,</w:t>
      </w:r>
      <w:r>
        <w:rPr>
          <w:rStyle w:val="DataTypeTok"/>
        </w:rPr>
        <w:t xml:space="preserve">"noise"</w:t>
      </w:r>
      <w:r>
        <w:rPr>
          <w:rStyle w:val="FunctionTok"/>
        </w:rPr>
        <w:t xml:space="preserve">:</w:t>
      </w:r>
      <w:r>
        <w:rPr>
          <w:rStyle w:val="FloatTok"/>
        </w:rPr>
        <w:t xml:space="preserve">1.0</w:t>
      </w:r>
      <w:r>
        <w:rPr>
          <w:rStyle w:val="FunctionTok"/>
        </w:rPr>
        <w:t xml:space="preserve">,</w:t>
      </w:r>
      <w:r>
        <w:rPr>
          <w:rStyle w:val="DataTypeTok"/>
        </w:rPr>
        <w:t xml:space="preserve">"crowding"</w:t>
      </w:r>
      <w:r>
        <w:rPr>
          <w:rStyle w:val="FunctionTok"/>
        </w:rPr>
        <w:t xml:space="preserve">:</w:t>
      </w:r>
      <w:r>
        <w:rPr>
          <w:rStyle w:val="FloatTok"/>
        </w:rPr>
        <w:t xml:space="preserve">1.3</w:t>
      </w:r>
      <w:r>
        <w:rPr>
          <w:rStyle w:val="FunctionTok"/>
        </w:rPr>
        <w:t xml:space="preserve">}</w:t>
      </w:r>
      <w:r>
        <w:br/>
      </w:r>
      <w:r>
        <w:rPr>
          <w:rStyle w:val="FunctionTok"/>
        </w:rPr>
        <w:t xml:space="preserve">}</w:t>
      </w:r>
    </w:p>
    <w:p>
      <w:pPr>
        <w:pStyle w:val="FirstParagraph"/>
      </w:pPr>
      <w:r>
        <w:t xml:space="preserve">These values are design assumptions, not individual medical attributes.</w:t>
      </w:r>
    </w:p>
    <w:bookmarkEnd w:id="79"/>
    <w:bookmarkStart w:id="80" w:name="compound-priority-score"/>
    <w:p>
      <w:pPr>
        <w:pStyle w:val="Heading2"/>
      </w:pPr>
      <w:r>
        <w:t xml:space="preserve">8.10 Compound priority score</w:t>
      </w:r>
    </w:p>
    <w:p>
      <w:pPr>
        <w:pStyle w:val="FirstParagraph"/>
      </w:pPr>
      <w:r>
        <w:t xml:space="preserve">Let</w:t>
      </w:r>
      <w:r>
        <w:t xml:space="preserve"> </w:t>
      </w:r>
      <m:oMath>
        <m:r>
          <m:t>R</m:t>
        </m:r>
      </m:oMath>
      <w:r>
        <w:t xml:space="preserve"> </w:t>
      </w:r>
      <w:r>
        <w:t xml:space="preserve">be the episode’s elevated hazards. Default risk weights are</w:t>
      </w:r>
      <w:r>
        <w:t xml:space="preserve"> </w:t>
      </w:r>
      <w:r>
        <w:rPr>
          <w:rStyle w:val="VerbatimChar"/>
        </w:rPr>
        <w:t xml:space="preserve">high_risk = 1</w:t>
      </w:r>
      <w:r>
        <w:t xml:space="preserve"> </w:t>
      </w:r>
      <w:r>
        <w:t xml:space="preserve">and</w:t>
      </w:r>
      <w:r>
        <w:t xml:space="preserve"> </w:t>
      </w:r>
      <w:r>
        <w:rPr>
          <w:rStyle w:val="VerbatimChar"/>
        </w:rPr>
        <w:t xml:space="preserve">severe = 2</w:t>
      </w:r>
      <w:r>
        <w:t xml:space="preserve">. Define</w:t>
      </w:r>
    </w:p>
    <w:p>
      <w:pPr>
        <w:pStyle w:val="BodyText"/>
      </w:pPr>
      <m:oMathPara>
        <m:oMathParaPr>
          <m:jc m:val="center"/>
        </m:oMathParaPr>
        <m:oMath>
          <m:r>
            <m:t>H</m:t>
          </m:r>
          <m:d>
            <m:dPr>
              <m:begChr m:val="("/>
              <m:endChr m:val=")"/>
              <m:sepChr m:val=""/>
              <m:grow/>
            </m:dPr>
            <m:e>
              <m:r>
                <m:t>a</m:t>
              </m:r>
            </m:e>
          </m:d>
          <m:r>
            <m:rPr>
              <m:sty m:val="p"/>
            </m:rPr>
            <m:t>=</m:t>
          </m:r>
          <m:r>
            <m:rPr>
              <m:sty m:val="p"/>
            </m:rPr>
            <m:t>min</m:t>
          </m:r>
          <m:d>
            <m:dPr>
              <m:begChr m:val="("/>
              <m:endChr m:val=")"/>
              <m:sepChr m:val=""/>
              <m:grow/>
            </m:dPr>
            <m:e>
              <m:sSub>
                <m:e>
                  <m:r>
                    <m:t>H</m:t>
                  </m:r>
                </m:e>
                <m:sub>
                  <m:r>
                    <m:t>c</m:t>
                  </m:r>
                  <m:r>
                    <m:t>a</m:t>
                  </m:r>
                  <m:r>
                    <m:t>p</m:t>
                  </m:r>
                </m:sub>
              </m:sSub>
              <m:r>
                <m:rPr>
                  <m:sty m:val="p"/>
                </m:rPr>
                <m:t>,</m:t>
              </m:r>
              <m:nary>
                <m:naryPr>
                  <m:chr m:val="∑"/>
                  <m:limLoc m:val="undOvr"/>
                  <m:subHide m:val="off"/>
                  <m:supHide m:val="on"/>
                </m:naryPr>
                <m:sub>
                  <m:r>
                    <m:t>r</m:t>
                  </m:r>
                  <m:r>
                    <m:rPr>
                      <m:sty m:val="p"/>
                    </m:rPr>
                    <m:t>∈</m:t>
                  </m:r>
                  <m:r>
                    <m:t>R</m:t>
                  </m:r>
                </m:sub>
                <m:sup>
                  <m:r>
                    <m:t>​</m:t>
                  </m:r>
                </m:sup>
                <m:e>
                  <m:r>
                    <m:t>w</m:t>
                  </m:r>
                </m:e>
              </m:nary>
              <m:d>
                <m:dPr>
                  <m:begChr m:val="("/>
                  <m:endChr m:val=")"/>
                  <m:sepChr m:val=""/>
                  <m:grow/>
                </m:dPr>
                <m:e>
                  <m:r>
                    <m:t>l</m:t>
                  </m:r>
                  <m:r>
                    <m:t>e</m:t>
                  </m:r>
                  <m:r>
                    <m:t>v</m:t>
                  </m:r>
                  <m:r>
                    <m:t>e</m:t>
                  </m:r>
                  <m:sSub>
                    <m:e>
                      <m:r>
                        <m:t>l</m:t>
                      </m:r>
                    </m:e>
                    <m:sub>
                      <m:r>
                        <m:t>r</m:t>
                      </m:r>
                    </m:sub>
                  </m:sSub>
                </m:e>
              </m:d>
              <m:r>
                <m:t>s</m:t>
              </m:r>
              <m:r>
                <m:t>e</m:t>
              </m:r>
              <m:r>
                <m:t>n</m:t>
              </m:r>
              <m:r>
                <m:t>s</m:t>
              </m:r>
              <m:r>
                <m:t>i</m:t>
              </m:r>
              <m:r>
                <m:t>t</m:t>
              </m:r>
              <m:r>
                <m:t>i</m:t>
              </m:r>
              <m:r>
                <m:t>v</m:t>
              </m:r>
              <m:r>
                <m:t>i</m:t>
              </m:r>
              <m:r>
                <m:t>t</m:t>
              </m:r>
              <m:r>
                <m:t>y</m:t>
              </m:r>
              <m:d>
                <m:dPr>
                  <m:begChr m:val="("/>
                  <m:endChr m:val=")"/>
                  <m:sepChr m:val=""/>
                  <m:grow/>
                </m:dPr>
                <m:e>
                  <m:r>
                    <m:t>a</m:t>
                  </m:r>
                  <m:r>
                    <m:rPr>
                      <m:sty m:val="p"/>
                    </m:rPr>
                    <m:t>,</m:t>
                  </m:r>
                  <m:r>
                    <m:t>r</m:t>
                  </m:r>
                </m:e>
              </m:d>
            </m:e>
          </m:d>
          <m:r>
            <m:rPr>
              <m:sty m:val="p"/>
            </m:rPr>
            <m:t>,</m:t>
          </m:r>
        </m:oMath>
      </m:oMathPara>
    </w:p>
    <w:p>
      <w:pPr>
        <w:pStyle w:val="FirstParagraph"/>
      </w:pPr>
      <m:oMathPara>
        <m:oMathParaPr>
          <m:jc m:val="center"/>
        </m:oMathParaPr>
        <m:oMath>
          <m:r>
            <m:t>X</m:t>
          </m:r>
          <m:d>
            <m:dPr>
              <m:begChr m:val="("/>
              <m:endChr m:val=")"/>
              <m:sepChr m:val=""/>
              <m:grow/>
            </m:dPr>
            <m:e>
              <m:r>
                <m:t>a</m:t>
              </m:r>
            </m:e>
          </m:d>
          <m:r>
            <m:rPr>
              <m:sty m:val="p"/>
            </m:rPr>
            <m:t>=</m:t>
          </m:r>
          <m:sSub>
            <m:e>
              <m:r>
                <m:rPr>
                  <m:sty m:val="p"/>
                </m:rPr>
                <m:t>log</m:t>
              </m:r>
            </m:e>
            <m:sub>
              <m:r>
                <m:t>10</m:t>
              </m:r>
            </m:sub>
          </m:sSub>
          <m:d>
            <m:dPr>
              <m:begChr m:val="("/>
              <m:endChr m:val=")"/>
              <m:sepChr m:val=""/>
              <m:grow/>
            </m:dPr>
            <m:e>
              <m:r>
                <m:t>1</m:t>
              </m:r>
              <m:r>
                <m:rPr>
                  <m:sty m:val="p"/>
                </m:rPr>
                <m:t>+</m:t>
              </m:r>
              <m:f>
                <m:fPr>
                  <m:type m:val="bar"/>
                </m:fPr>
                <m:num>
                  <m:r>
                    <m:t>a</m:t>
                  </m:r>
                  <m:r>
                    <m:t>u</m:t>
                  </m:r>
                  <m:r>
                    <m:t>d</m:t>
                  </m:r>
                  <m:r>
                    <m:t>i</m:t>
                  </m:r>
                  <m:r>
                    <m:t>e</m:t>
                  </m:r>
                  <m:r>
                    <m:t>n</m:t>
                  </m:r>
                  <m:r>
                    <m:t>c</m:t>
                  </m:r>
                  <m:r>
                    <m:t>e</m:t>
                  </m:r>
                  <m:r>
                    <m:rPr>
                      <m:sty m:val="p"/>
                    </m:rPr>
                    <m:t>_</m:t>
                  </m:r>
                  <m:r>
                    <m:t>p</m:t>
                  </m:r>
                  <m:r>
                    <m:t>e</m:t>
                  </m:r>
                  <m:r>
                    <m:t>r</m:t>
                  </m:r>
                  <m:r>
                    <m:t>s</m:t>
                  </m:r>
                  <m:r>
                    <m:t>o</m:t>
                  </m:r>
                  <m:r>
                    <m:t>n</m:t>
                  </m:r>
                  <m:r>
                    <m:rPr>
                      <m:sty m:val="p"/>
                    </m:rPr>
                    <m:t>_</m:t>
                  </m:r>
                  <m:r>
                    <m:t>m</m:t>
                  </m:r>
                  <m:r>
                    <m:t>i</m:t>
                  </m:r>
                  <m:r>
                    <m:t>n</m:t>
                  </m:r>
                  <m:r>
                    <m:t>u</m:t>
                  </m:r>
                  <m:r>
                    <m:t>t</m:t>
                  </m:r>
                  <m:r>
                    <m:t>e</m:t>
                  </m:r>
                  <m:r>
                    <m:t>s</m:t>
                  </m:r>
                </m:num>
                <m:den>
                  <m:sSub>
                    <m:e>
                      <m:r>
                        <m:t>E</m:t>
                      </m:r>
                    </m:e>
                    <m:sub>
                      <m:r>
                        <m:t>r</m:t>
                      </m:r>
                      <m:r>
                        <m:t>e</m:t>
                      </m:r>
                      <m:r>
                        <m:t>f</m:t>
                      </m:r>
                    </m:sub>
                  </m:sSub>
                </m:den>
              </m:f>
            </m:e>
          </m:d>
          <m:r>
            <m:rPr>
              <m:sty m:val="p"/>
            </m:rPr>
            <m:t>,</m:t>
          </m:r>
        </m:oMath>
      </m:oMathPara>
    </w:p>
    <w:p>
      <w:pPr>
        <w:pStyle w:val="FirstParagraph"/>
      </w:pPr>
      <m:oMathPara>
        <m:oMathParaPr>
          <m:jc m:val="center"/>
        </m:oMathParaPr>
        <m:oMath>
          <m:r>
            <m:t>p</m:t>
          </m:r>
          <m:r>
            <m:t>r</m:t>
          </m:r>
          <m:r>
            <m:t>i</m:t>
          </m:r>
          <m:r>
            <m:t>o</m:t>
          </m:r>
          <m:r>
            <m:t>r</m:t>
          </m:r>
          <m:r>
            <m:t>i</m:t>
          </m:r>
          <m:r>
            <m:t>t</m:t>
          </m:r>
          <m:r>
            <m:t>y</m:t>
          </m:r>
          <m:d>
            <m:dPr>
              <m:begChr m:val="("/>
              <m:endChr m:val=")"/>
              <m:sepChr m:val=""/>
              <m:grow/>
            </m:dPr>
            <m:e>
              <m:r>
                <m:t>a</m:t>
              </m:r>
            </m:e>
          </m:d>
          <m:r>
            <m:rPr>
              <m:sty m:val="p"/>
            </m:rPr>
            <m:t>=</m:t>
          </m:r>
          <m:r>
            <m:t>H</m:t>
          </m:r>
          <m:d>
            <m:dPr>
              <m:begChr m:val="("/>
              <m:endChr m:val=")"/>
              <m:sepChr m:val=""/>
              <m:grow/>
            </m:dPr>
            <m:e>
              <m:r>
                <m:t>a</m:t>
              </m:r>
            </m:e>
          </m:d>
          <m:r>
            <m:t>X</m:t>
          </m:r>
          <m:d>
            <m:dPr>
              <m:begChr m:val="("/>
              <m:endChr m:val=")"/>
              <m:sepChr m:val=""/>
              <m:grow/>
            </m:dPr>
            <m:e>
              <m:r>
                <m:t>a</m:t>
              </m:r>
            </m:e>
          </m:d>
          <m:r>
            <m:rPr>
              <m:sty m:val="p"/>
            </m:rPr>
            <m:t>.</m:t>
          </m:r>
        </m:oMath>
      </m:oMathPara>
    </w:p>
    <w:p>
      <w:pPr>
        <w:pStyle w:val="FirstParagraph"/>
      </w:pPr>
      <w:r>
        <w:t xml:space="preserve">Defaults are</w:t>
      </w:r>
      <w:r>
        <w:t xml:space="preserve"> </w:t>
      </w:r>
      <m:oMath>
        <m:sSub>
          <m:e>
            <m:r>
              <m:t>H</m:t>
            </m:r>
          </m:e>
          <m:sub>
            <m:r>
              <m:t>c</m:t>
            </m:r>
            <m:r>
              <m:t>a</m:t>
            </m:r>
            <m:r>
              <m:t>p</m:t>
            </m:r>
          </m:sub>
        </m:sSub>
        <m:r>
          <m:rPr>
            <m:sty m:val="p"/>
          </m:rPr>
          <m:t>=</m:t>
        </m:r>
        <m:r>
          <m:t>6</m:t>
        </m:r>
      </m:oMath>
      <w:r>
        <w:t xml:space="preserve"> </w:t>
      </w:r>
      <w:r>
        <w:t xml:space="preserve">and</w:t>
      </w:r>
      <w:r>
        <w:t xml:space="preserve"> </w:t>
      </w:r>
      <m:oMath>
        <m:sSub>
          <m:e>
            <m:r>
              <m:t>E</m:t>
            </m:r>
          </m:e>
          <m:sub>
            <m:r>
              <m:t>r</m:t>
            </m:r>
            <m:r>
              <m:t>e</m:t>
            </m:r>
            <m:r>
              <m:t>f</m:t>
            </m:r>
          </m:sub>
        </m:sSub>
        <m:r>
          <m:rPr>
            <m:sty m:val="p"/>
          </m:rPr>
          <m:t>=</m:t>
        </m:r>
        <m:r>
          <m:t>1000</m:t>
        </m:r>
      </m:oMath>
      <w:r>
        <w:t xml:space="preserve"> </w:t>
      </w:r>
      <w:r>
        <w:t xml:space="preserve">person-minutes. Every component of the score is stored. A different formula requires a new</w:t>
      </w:r>
      <w:r>
        <w:t xml:space="preserve"> </w:t>
      </w:r>
      <w:r>
        <w:rPr>
          <w:rStyle w:val="VerbatimChar"/>
        </w:rPr>
        <w:t xml:space="preserve">priority_algorithm_version</w:t>
      </w:r>
      <w:r>
        <w:t xml:space="preserve">.</w:t>
      </w:r>
    </w:p>
    <w:bookmarkEnd w:id="80"/>
    <w:bookmarkStart w:id="81" w:name="strategy-provenance"/>
    <w:p>
      <w:pPr>
        <w:pStyle w:val="Heading2"/>
      </w:pPr>
      <w:r>
        <w:t xml:space="preserve">8.11 Strategy provenance</w:t>
      </w:r>
    </w:p>
    <w:p>
      <w:pPr>
        <w:pStyle w:val="FirstParagraph"/>
      </w:pPr>
      <w:r>
        <w:t xml:space="preserve">Each strategy object distinguishes data-derived and template-derived fields. Required fields include:</w:t>
      </w:r>
    </w:p>
    <w:p>
      <w:pPr>
        <w:pStyle w:val="SourceCode"/>
      </w:pPr>
      <w:r>
        <w:rPr>
          <w:rStyle w:val="FunctionTok"/>
        </w:rPr>
        <w:t xml:space="preserve">{</w:t>
      </w:r>
      <w:r>
        <w:br/>
      </w:r>
      <w:r>
        <w:rPr>
          <w:rStyle w:val="NormalTok"/>
        </w:rPr>
        <w:t xml:space="preserve">  </w:t>
      </w:r>
      <w:r>
        <w:rPr>
          <w:rStyle w:val="DataTypeTok"/>
        </w:rPr>
        <w:t xml:space="preserve">"trigger_rule"</w:t>
      </w:r>
      <w:r>
        <w:rPr>
          <w:rStyle w:val="FunctionTok"/>
        </w:rPr>
        <w:t xml:space="preserve">:</w:t>
      </w:r>
      <w:r>
        <w:rPr>
          <w:rStyle w:val="NormalTok"/>
        </w:rPr>
        <w:t xml:space="preserve"> </w:t>
      </w:r>
      <w:r>
        <w:rPr>
          <w:rStyle w:val="StringTok"/>
        </w:rPr>
        <w:t xml:space="preserve">"..."</w:t>
      </w:r>
      <w:r>
        <w:rPr>
          <w:rStyle w:val="FunctionTok"/>
        </w:rPr>
        <w:t xml:space="preserve">,</w:t>
      </w:r>
      <w:r>
        <w:br/>
      </w:r>
      <w:r>
        <w:rPr>
          <w:rStyle w:val="NormalTok"/>
        </w:rPr>
        <w:t xml:space="preserve">  </w:t>
      </w:r>
      <w:r>
        <w:rPr>
          <w:rStyle w:val="DataTypeTok"/>
        </w:rPr>
        <w:t xml:space="preserve">"assumption_source"</w:t>
      </w:r>
      <w:r>
        <w:rPr>
          <w:rStyle w:val="FunctionTok"/>
        </w:rPr>
        <w:t xml:space="preserve">:</w:t>
      </w:r>
      <w:r>
        <w:rPr>
          <w:rStyle w:val="NormalTok"/>
        </w:rPr>
        <w:t xml:space="preserve"> </w:t>
      </w:r>
      <w:r>
        <w:rPr>
          <w:rStyle w:val="StringTok"/>
        </w:rPr>
        <w:t xml:space="preserve">"..."</w:t>
      </w:r>
      <w:r>
        <w:rPr>
          <w:rStyle w:val="FunctionTok"/>
        </w:rPr>
        <w:t xml:space="preserve">,</w:t>
      </w:r>
      <w:r>
        <w:br/>
      </w:r>
      <w:r>
        <w:rPr>
          <w:rStyle w:val="NormalTok"/>
        </w:rPr>
        <w:t xml:space="preserve">  </w:t>
      </w:r>
      <w:r>
        <w:rPr>
          <w:rStyle w:val="DataTypeTok"/>
        </w:rPr>
        <w:t xml:space="preserve">"evidence_basis"</w:t>
      </w:r>
      <w:r>
        <w:rPr>
          <w:rStyle w:val="FunctionTok"/>
        </w:rPr>
        <w:t xml:space="preserve">:</w:t>
      </w:r>
      <w:r>
        <w:rPr>
          <w:rStyle w:val="NormalTok"/>
        </w:rPr>
        <w:t xml:space="preserve"> </w:t>
      </w:r>
      <w:r>
        <w:rPr>
          <w:rStyle w:val="FunctionTok"/>
        </w:rPr>
        <w:t xml:space="preserve">{</w:t>
      </w:r>
      <w:r>
        <w:br/>
      </w:r>
      <w:r>
        <w:rPr>
          <w:rStyle w:val="NormalTok"/>
        </w:rPr>
        <w:t xml:space="preserve">    </w:t>
      </w:r>
      <w:r>
        <w:rPr>
          <w:rStyle w:val="DataTypeTok"/>
        </w:rPr>
        <w:t xml:space="preserve">"episode"</w:t>
      </w:r>
      <w:r>
        <w:rPr>
          <w:rStyle w:val="FunctionTok"/>
        </w:rPr>
        <w:t xml:space="preserve">:</w:t>
      </w:r>
      <w:r>
        <w:rPr>
          <w:rStyle w:val="NormalTok"/>
        </w:rPr>
        <w:t xml:space="preserve"> </w:t>
      </w:r>
      <w:r>
        <w:rPr>
          <w:rStyle w:val="StringTok"/>
        </w:rPr>
        <w:t xml:space="preserve">"generated_data"</w:t>
      </w:r>
      <w:r>
        <w:rPr>
          <w:rStyle w:val="FunctionTok"/>
        </w:rPr>
        <w:t xml:space="preserve">,</w:t>
      </w:r>
      <w:r>
        <w:br/>
      </w:r>
      <w:r>
        <w:rPr>
          <w:rStyle w:val="NormalTok"/>
        </w:rPr>
        <w:t xml:space="preserve">    </w:t>
      </w:r>
      <w:r>
        <w:rPr>
          <w:rStyle w:val="DataTypeTok"/>
        </w:rPr>
        <w:t xml:space="preserve">"exposure"</w:t>
      </w:r>
      <w:r>
        <w:rPr>
          <w:rStyle w:val="FunctionTok"/>
        </w:rPr>
        <w:t xml:space="preserve">:</w:t>
      </w:r>
      <w:r>
        <w:rPr>
          <w:rStyle w:val="NormalTok"/>
        </w:rPr>
        <w:t xml:space="preserve"> </w:t>
      </w:r>
      <w:r>
        <w:rPr>
          <w:rStyle w:val="StringTok"/>
        </w:rPr>
        <w:t xml:space="preserve">"generated_data"</w:t>
      </w:r>
      <w:r>
        <w:rPr>
          <w:rStyle w:val="FunctionTok"/>
        </w:rPr>
        <w:t xml:space="preserve">,</w:t>
      </w:r>
      <w:r>
        <w:br/>
      </w:r>
      <w:r>
        <w:rPr>
          <w:rStyle w:val="NormalTok"/>
        </w:rPr>
        <w:t xml:space="preserve">    </w:t>
      </w:r>
      <w:r>
        <w:rPr>
          <w:rStyle w:val="DataTypeTok"/>
        </w:rPr>
        <w:t xml:space="preserve">"barrier"</w:t>
      </w:r>
      <w:r>
        <w:rPr>
          <w:rStyle w:val="FunctionTok"/>
        </w:rPr>
        <w:t xml:space="preserve">:</w:t>
      </w:r>
      <w:r>
        <w:rPr>
          <w:rStyle w:val="NormalTok"/>
        </w:rPr>
        <w:t xml:space="preserve"> </w:t>
      </w:r>
      <w:r>
        <w:rPr>
          <w:rStyle w:val="StringTok"/>
        </w:rPr>
        <w:t xml:space="preserve">"design_template"</w:t>
      </w:r>
      <w:r>
        <w:rPr>
          <w:rStyle w:val="FunctionTok"/>
        </w:rPr>
        <w:t xml:space="preserve">,</w:t>
      </w:r>
      <w:r>
        <w:br/>
      </w:r>
      <w:r>
        <w:rPr>
          <w:rStyle w:val="NormalTok"/>
        </w:rPr>
        <w:t xml:space="preserve">    </w:t>
      </w:r>
      <w:r>
        <w:rPr>
          <w:rStyle w:val="DataTypeTok"/>
        </w:rPr>
        <w:t xml:space="preserve">"offered_benefit"</w:t>
      </w:r>
      <w:r>
        <w:rPr>
          <w:rStyle w:val="FunctionTok"/>
        </w:rPr>
        <w:t xml:space="preserve">:</w:t>
      </w:r>
      <w:r>
        <w:rPr>
          <w:rStyle w:val="NormalTok"/>
        </w:rPr>
        <w:t xml:space="preserve"> </w:t>
      </w:r>
      <w:r>
        <w:rPr>
          <w:rStyle w:val="StringTok"/>
        </w:rPr>
        <w:t xml:space="preserve">"design_template"</w:t>
      </w:r>
      <w:r>
        <w:br/>
      </w:r>
      <w:r>
        <w:rPr>
          <w:rStyle w:val="NormalTok"/>
        </w:rPr>
        <w:t xml:space="preserve">  </w:t>
      </w:r>
      <w:r>
        <w:rPr>
          <w:rStyle w:val="FunctionTok"/>
        </w:rPr>
        <w:t xml:space="preserve">},</w:t>
      </w:r>
      <w:r>
        <w:br/>
      </w:r>
      <w:r>
        <w:rPr>
          <w:rStyle w:val="NormalTok"/>
        </w:rPr>
        <w:t xml:space="preserve">  </w:t>
      </w:r>
      <w:r>
        <w:rPr>
          <w:rStyle w:val="DataTypeTok"/>
        </w:rPr>
        <w:t xml:space="preserve">"confidence_level"</w:t>
      </w:r>
      <w:r>
        <w:rPr>
          <w:rStyle w:val="FunctionTok"/>
        </w:rPr>
        <w:t xml:space="preserve">:</w:t>
      </w:r>
      <w:r>
        <w:rPr>
          <w:rStyle w:val="NormalTok"/>
        </w:rPr>
        <w:t xml:space="preserve"> </w:t>
      </w:r>
      <w:r>
        <w:rPr>
          <w:rStyle w:val="StringTok"/>
        </w:rPr>
        <w:t xml:space="preserve">"template_default"</w:t>
      </w:r>
      <w:r>
        <w:br/>
      </w:r>
      <w:r>
        <w:rPr>
          <w:rStyle w:val="FunctionTok"/>
        </w:rPr>
        <w:t xml:space="preserve">}</w:t>
      </w:r>
    </w:p>
    <w:p>
      <w:pPr>
        <w:pStyle w:val="FirstParagraph"/>
      </w:pPr>
      <w:r>
        <w:t xml:space="preserve">No behavioural barrier or motivation may be represented as sensor-derived unless an external data source actually supplied it.</w:t>
      </w:r>
    </w:p>
    <w:bookmarkEnd w:id="81"/>
    <w:bookmarkEnd w:id="82"/>
    <w:bookmarkStart w:id="94" w:name="output-artifacts-and-data-contract"/>
    <w:p>
      <w:pPr>
        <w:pStyle w:val="Heading1"/>
      </w:pPr>
      <w:r>
        <w:t xml:space="preserve">9. Output artifacts and data contract</w:t>
      </w:r>
    </w:p>
    <w:p>
      <w:pPr>
        <w:pStyle w:val="FirstParagraph"/>
      </w:pPr>
      <w:r>
        <w:t xml:space="preserve">Every run emits a common basename:</w:t>
      </w:r>
    </w:p>
    <w:p>
      <w:pPr>
        <w:pStyle w:val="SourceCode"/>
      </w:pPr>
      <w:r>
        <w:rPr>
          <w:rStyle w:val="VerbatimChar"/>
        </w:rPr>
        <w:t xml:space="preserve">&lt;basename&gt;.csv</w:t>
      </w:r>
      <w:r>
        <w:br/>
      </w:r>
      <w:r>
        <w:rPr>
          <w:rStyle w:val="VerbatimChar"/>
        </w:rPr>
        <w:t xml:space="preserve">&lt;basename&gt;.scenario.json</w:t>
      </w:r>
      <w:r>
        <w:br/>
      </w:r>
      <w:r>
        <w:rPr>
          <w:rStyle w:val="VerbatimChar"/>
        </w:rPr>
        <w:t xml:space="preserve">&lt;basename&gt;.arrival_events.json</w:t>
      </w:r>
      <w:r>
        <w:br/>
      </w:r>
      <w:r>
        <w:rPr>
          <w:rStyle w:val="VerbatimChar"/>
        </w:rPr>
        <w:t xml:space="preserve">&lt;basename&gt;.strategy.json</w:t>
      </w:r>
      <w:r>
        <w:br/>
      </w:r>
      <w:r>
        <w:rPr>
          <w:rStyle w:val="VerbatimChar"/>
        </w:rPr>
        <w:t xml:space="preserve">&lt;basename&gt;.validation.json</w:t>
      </w:r>
      <w:r>
        <w:br/>
      </w:r>
      <w:r>
        <w:rPr>
          <w:rStyle w:val="VerbatimChar"/>
        </w:rPr>
        <w:t xml:space="preserve">&lt;basename&gt;.manifest.json</w:t>
      </w:r>
    </w:p>
    <w:bookmarkStart w:id="89" w:name="csv-column-groups"/>
    <w:p>
      <w:pPr>
        <w:pStyle w:val="Heading2"/>
      </w:pPr>
      <w:r>
        <w:t xml:space="preserve">9.1 CSV column groups</w:t>
      </w:r>
    </w:p>
    <w:p>
      <w:pPr>
        <w:pStyle w:val="FirstParagraph"/>
      </w:pPr>
      <w:r>
        <w:t xml:space="preserve">The CSV MUST contain at least:</w:t>
      </w:r>
    </w:p>
    <w:bookmarkStart w:id="83" w:name="time-and-context"/>
    <w:p>
      <w:pPr>
        <w:pStyle w:val="Heading3"/>
      </w:pPr>
      <w:r>
        <w:t xml:space="preserve">Time and context</w:t>
      </w:r>
    </w:p>
    <w:p>
      <w:pPr>
        <w:numPr>
          <w:ilvl w:val="0"/>
          <w:numId w:val="1021"/>
        </w:numPr>
        <w:pStyle w:val="Compact"/>
      </w:pPr>
      <w:r>
        <w:rPr>
          <w:rStyle w:val="VerbatimChar"/>
        </w:rPr>
        <w:t xml:space="preserve">timestamp</w:t>
      </w:r>
    </w:p>
    <w:p>
      <w:pPr>
        <w:numPr>
          <w:ilvl w:val="0"/>
          <w:numId w:val="1021"/>
        </w:numPr>
        <w:pStyle w:val="Compact"/>
      </w:pPr>
      <w:r>
        <w:rPr>
          <w:rStyle w:val="VerbatimChar"/>
        </w:rPr>
        <w:t xml:space="preserve">step_duration_seconds</w:t>
      </w:r>
    </w:p>
    <w:p>
      <w:pPr>
        <w:numPr>
          <w:ilvl w:val="0"/>
          <w:numId w:val="1021"/>
        </w:numPr>
        <w:pStyle w:val="Compact"/>
      </w:pPr>
      <w:r>
        <w:rPr>
          <w:rStyle w:val="VerbatimChar"/>
        </w:rPr>
        <w:t xml:space="preserve">day_type</w:t>
      </w:r>
    </w:p>
    <w:p>
      <w:pPr>
        <w:numPr>
          <w:ilvl w:val="0"/>
          <w:numId w:val="1021"/>
        </w:numPr>
        <w:pStyle w:val="Compact"/>
      </w:pPr>
      <w:r>
        <w:rPr>
          <w:rStyle w:val="VerbatimChar"/>
        </w:rPr>
        <w:t xml:space="preserve">cloud_state</w:t>
      </w:r>
    </w:p>
    <w:p>
      <w:pPr>
        <w:numPr>
          <w:ilvl w:val="0"/>
          <w:numId w:val="1021"/>
        </w:numPr>
        <w:pStyle w:val="Compact"/>
      </w:pPr>
      <w:r>
        <w:rPr>
          <w:rStyle w:val="VerbatimChar"/>
        </w:rPr>
        <w:t xml:space="preserve">cloud_fraction</w:t>
      </w:r>
    </w:p>
    <w:p>
      <w:pPr>
        <w:numPr>
          <w:ilvl w:val="0"/>
          <w:numId w:val="1021"/>
        </w:numPr>
        <w:pStyle w:val="Compact"/>
      </w:pPr>
      <w:r>
        <w:rPr>
          <w:rStyle w:val="VerbatimChar"/>
        </w:rPr>
        <w:t xml:space="preserve">precipitation_mm_h</w:t>
      </w:r>
    </w:p>
    <w:bookmarkEnd w:id="83"/>
    <w:bookmarkStart w:id="84" w:name="meteorological-truth"/>
    <w:p>
      <w:pPr>
        <w:pStyle w:val="Heading3"/>
      </w:pPr>
      <w:r>
        <w:t xml:space="preserve">Meteorological truth</w:t>
      </w:r>
    </w:p>
    <w:p>
      <w:pPr>
        <w:numPr>
          <w:ilvl w:val="0"/>
          <w:numId w:val="1022"/>
        </w:numPr>
        <w:pStyle w:val="Compact"/>
      </w:pPr>
      <w:r>
        <w:rPr>
          <w:rStyle w:val="VerbatimChar"/>
        </w:rPr>
        <w:t xml:space="preserve">air_temperature_c</w:t>
      </w:r>
    </w:p>
    <w:p>
      <w:pPr>
        <w:numPr>
          <w:ilvl w:val="0"/>
          <w:numId w:val="1022"/>
        </w:numPr>
        <w:pStyle w:val="Compact"/>
      </w:pPr>
      <w:r>
        <w:rPr>
          <w:rStyle w:val="VerbatimChar"/>
        </w:rPr>
        <w:t xml:space="preserve">vapour_pressure_pa</w:t>
      </w:r>
    </w:p>
    <w:p>
      <w:pPr>
        <w:numPr>
          <w:ilvl w:val="0"/>
          <w:numId w:val="1022"/>
        </w:numPr>
        <w:pStyle w:val="Compact"/>
      </w:pPr>
      <w:r>
        <w:rPr>
          <w:rStyle w:val="VerbatimChar"/>
        </w:rPr>
        <w:t xml:space="preserve">relative_humidity_pct</w:t>
      </w:r>
    </w:p>
    <w:p>
      <w:pPr>
        <w:numPr>
          <w:ilvl w:val="0"/>
          <w:numId w:val="1022"/>
        </w:numPr>
        <w:pStyle w:val="Compact"/>
      </w:pPr>
      <w:r>
        <w:rPr>
          <w:rStyle w:val="VerbatimChar"/>
        </w:rPr>
        <w:t xml:space="preserve">wind_speed_10m_m_s</w:t>
      </w:r>
    </w:p>
    <w:p>
      <w:pPr>
        <w:numPr>
          <w:ilvl w:val="0"/>
          <w:numId w:val="1022"/>
        </w:numPr>
        <w:pStyle w:val="Compact"/>
      </w:pPr>
      <w:r>
        <w:rPr>
          <w:rStyle w:val="VerbatimChar"/>
        </w:rPr>
        <w:t xml:space="preserve">wind_speed_pedestrian_m_s</w:t>
      </w:r>
    </w:p>
    <w:p>
      <w:pPr>
        <w:numPr>
          <w:ilvl w:val="0"/>
          <w:numId w:val="1022"/>
        </w:numPr>
        <w:pStyle w:val="Compact"/>
      </w:pPr>
      <w:r>
        <w:rPr>
          <w:rStyle w:val="VerbatimChar"/>
        </w:rPr>
        <w:t xml:space="preserve">mean_radiant_temperature_c</w:t>
      </w:r>
    </w:p>
    <w:bookmarkEnd w:id="84"/>
    <w:bookmarkStart w:id="85" w:name="mobility-and-occupancy"/>
    <w:p>
      <w:pPr>
        <w:pStyle w:val="Heading3"/>
      </w:pPr>
      <w:r>
        <w:t xml:space="preserve">Mobility and occupancy</w:t>
      </w:r>
    </w:p>
    <w:p>
      <w:pPr>
        <w:numPr>
          <w:ilvl w:val="0"/>
          <w:numId w:val="1023"/>
        </w:numPr>
        <w:pStyle w:val="Compact"/>
      </w:pPr>
      <w:r>
        <w:rPr>
          <w:rStyle w:val="VerbatimChar"/>
        </w:rPr>
        <w:t xml:space="preserve">crowd_state</w:t>
      </w:r>
    </w:p>
    <w:p>
      <w:pPr>
        <w:numPr>
          <w:ilvl w:val="0"/>
          <w:numId w:val="1023"/>
        </w:numPr>
        <w:pStyle w:val="Compact"/>
      </w:pPr>
      <w:r>
        <w:rPr>
          <w:rStyle w:val="VerbatimChar"/>
        </w:rPr>
        <w:t xml:space="preserve">offered_arrivals_count</w:t>
      </w:r>
    </w:p>
    <w:p>
      <w:pPr>
        <w:numPr>
          <w:ilvl w:val="0"/>
          <w:numId w:val="1023"/>
        </w:numPr>
        <w:pStyle w:val="Compact"/>
      </w:pPr>
      <w:r>
        <w:rPr>
          <w:rStyle w:val="VerbatimChar"/>
        </w:rPr>
        <w:t xml:space="preserve">admitted_arrivals_count</w:t>
      </w:r>
    </w:p>
    <w:p>
      <w:pPr>
        <w:numPr>
          <w:ilvl w:val="0"/>
          <w:numId w:val="1023"/>
        </w:numPr>
        <w:pStyle w:val="Compact"/>
      </w:pPr>
      <w:r>
        <w:rPr>
          <w:rStyle w:val="VerbatimChar"/>
        </w:rPr>
        <w:t xml:space="preserve">rejected_arrivals_count</w:t>
      </w:r>
    </w:p>
    <w:p>
      <w:pPr>
        <w:numPr>
          <w:ilvl w:val="0"/>
          <w:numId w:val="1023"/>
        </w:numPr>
        <w:pStyle w:val="Compact"/>
      </w:pPr>
      <w:r>
        <w:rPr>
          <w:rStyle w:val="VerbatimChar"/>
        </w:rPr>
        <w:t xml:space="preserve">deferred_arrivals_count</w:t>
      </w:r>
    </w:p>
    <w:p>
      <w:pPr>
        <w:numPr>
          <w:ilvl w:val="0"/>
          <w:numId w:val="1023"/>
        </w:numPr>
        <w:pStyle w:val="Compact"/>
      </w:pPr>
      <w:r>
        <w:rPr>
          <w:rStyle w:val="VerbatimChar"/>
        </w:rPr>
        <w:t xml:space="preserve">deferred_timeout_count</w:t>
      </w:r>
    </w:p>
    <w:p>
      <w:pPr>
        <w:numPr>
          <w:ilvl w:val="0"/>
          <w:numId w:val="1023"/>
        </w:numPr>
        <w:pStyle w:val="Compact"/>
      </w:pPr>
      <w:r>
        <w:rPr>
          <w:rStyle w:val="VerbatimChar"/>
        </w:rPr>
        <w:t xml:space="preserve">queue_length_persons</w:t>
      </w:r>
      <w:r>
        <w:t xml:space="preserve"> </w:t>
      </w:r>
      <w:r>
        <w:t xml:space="preserve">(zero unless</w:t>
      </w:r>
      <w:r>
        <w:t xml:space="preserve"> </w:t>
      </w:r>
      <w:r>
        <w:rPr>
          <w:rStyle w:val="VerbatimChar"/>
        </w:rPr>
        <w:t xml:space="preserve">capacity_mode</w:t>
      </w:r>
      <w:r>
        <w:t xml:space="preserve"> </w:t>
      </w:r>
      <w:r>
        <w:t xml:space="preserve">is</w:t>
      </w:r>
      <w:r>
        <w:t xml:space="preserve"> </w:t>
      </w:r>
      <w:r>
        <w:rPr>
          <w:rStyle w:val="VerbatimChar"/>
        </w:rPr>
        <w:t xml:space="preserve">defer_fifo</w:t>
      </w:r>
      <w:r>
        <w:t xml:space="preserve">)</w:t>
      </w:r>
    </w:p>
    <w:p>
      <w:pPr>
        <w:numPr>
          <w:ilvl w:val="0"/>
          <w:numId w:val="1023"/>
        </w:numPr>
        <w:pStyle w:val="Compact"/>
      </w:pPr>
      <w:r>
        <w:rPr>
          <w:rStyle w:val="VerbatimChar"/>
        </w:rPr>
        <w:t xml:space="preserve">crowd_state_mechanism</w:t>
      </w:r>
      <w:r>
        <w:t xml:space="preserve"> </w:t>
      </w:r>
      <w:r>
        <w:t xml:space="preserve">(</w:t>
      </w:r>
      <w:r>
        <w:rPr>
          <w:rStyle w:val="VerbatimChar"/>
        </w:rPr>
        <w:t xml:space="preserve">stochastic</w:t>
      </w:r>
      <w:r>
        <w:t xml:space="preserve"> </w:t>
      </w:r>
      <w:r>
        <w:t xml:space="preserve">or</w:t>
      </w:r>
      <w:r>
        <w:t xml:space="preserve"> </w:t>
      </w:r>
      <w:r>
        <w:rPr>
          <w:rStyle w:val="VerbatimChar"/>
        </w:rPr>
        <w:t xml:space="preserve">forced</w:t>
      </w:r>
      <w:r>
        <w:t xml:space="preserve">, Section 6.8)</w:t>
      </w:r>
    </w:p>
    <w:p>
      <w:pPr>
        <w:numPr>
          <w:ilvl w:val="0"/>
          <w:numId w:val="1023"/>
        </w:numPr>
        <w:pStyle w:val="Compact"/>
      </w:pPr>
      <w:r>
        <w:rPr>
          <w:rStyle w:val="VerbatimChar"/>
        </w:rPr>
        <w:t xml:space="preserve">occupancy_persons</w:t>
      </w:r>
    </w:p>
    <w:p>
      <w:pPr>
        <w:numPr>
          <w:ilvl w:val="0"/>
          <w:numId w:val="1023"/>
        </w:numPr>
        <w:pStyle w:val="Compact"/>
      </w:pPr>
      <w:r>
        <w:rPr>
          <w:rStyle w:val="VerbatimChar"/>
        </w:rPr>
        <w:t xml:space="preserve">operational_capacity_ratio</w:t>
      </w:r>
    </w:p>
    <w:p>
      <w:pPr>
        <w:numPr>
          <w:ilvl w:val="0"/>
          <w:numId w:val="1023"/>
        </w:numPr>
        <w:pStyle w:val="Compact"/>
      </w:pPr>
      <w:r>
        <w:t xml:space="preserve">six</w:t>
      </w:r>
      <w:r>
        <w:t xml:space="preserve"> </w:t>
      </w:r>
      <w:r>
        <w:rPr>
          <w:rStyle w:val="VerbatimChar"/>
        </w:rPr>
        <w:t xml:space="preserve">audience_*_persons</w:t>
      </w:r>
      <w:r>
        <w:t xml:space="preserve"> </w:t>
      </w:r>
      <w:r>
        <w:t xml:space="preserve">columns</w:t>
      </w:r>
    </w:p>
    <w:p>
      <w:pPr>
        <w:numPr>
          <w:ilvl w:val="0"/>
          <w:numId w:val="1023"/>
        </w:numPr>
        <w:pStyle w:val="Compact"/>
      </w:pPr>
      <w:r>
        <w:rPr>
          <w:rStyle w:val="VerbatimChar"/>
        </w:rPr>
        <w:t xml:space="preserve">dominant_audience</w:t>
      </w:r>
    </w:p>
    <w:bookmarkEnd w:id="85"/>
    <w:bookmarkStart w:id="86" w:name="traffic-and-pollutants"/>
    <w:p>
      <w:pPr>
        <w:pStyle w:val="Heading3"/>
      </w:pPr>
      <w:r>
        <w:t xml:space="preserve">Traffic and pollutants</w:t>
      </w:r>
    </w:p>
    <w:p>
      <w:pPr>
        <w:numPr>
          <w:ilvl w:val="0"/>
          <w:numId w:val="1024"/>
        </w:numPr>
        <w:pStyle w:val="Compact"/>
      </w:pPr>
      <w:r>
        <w:rPr>
          <w:rStyle w:val="VerbatimChar"/>
        </w:rPr>
        <w:t xml:space="preserve">traffic_flow_vehicles_h</w:t>
      </w:r>
    </w:p>
    <w:p>
      <w:pPr>
        <w:numPr>
          <w:ilvl w:val="0"/>
          <w:numId w:val="1024"/>
        </w:numPr>
        <w:pStyle w:val="Compact"/>
      </w:pPr>
      <w:r>
        <w:t xml:space="preserve">per species: emission, background, physical concentration, sensor raw concentration, calibrated concentration if enabled, complete rolling concentration, and rolling availability flag</w:t>
      </w:r>
    </w:p>
    <w:bookmarkEnd w:id="86"/>
    <w:bookmarkStart w:id="87" w:name="acoustics"/>
    <w:p>
      <w:pPr>
        <w:pStyle w:val="Heading3"/>
      </w:pPr>
      <w:r>
        <w:t xml:space="preserve">Acoustics</w:t>
      </w:r>
    </w:p>
    <w:p>
      <w:pPr>
        <w:numPr>
          <w:ilvl w:val="0"/>
          <w:numId w:val="1025"/>
        </w:numPr>
        <w:pStyle w:val="Compact"/>
      </w:pPr>
      <w:r>
        <w:rPr>
          <w:rStyle w:val="VerbatimChar"/>
        </w:rPr>
        <w:t xml:space="preserve">LAeq_T_dBA</w:t>
      </w:r>
      <w:r>
        <w:t xml:space="preserve">, where the exact column name or adjacent metadata identifies</w:t>
      </w:r>
      <w:r>
        <w:t xml:space="preserve"> </w:t>
      </w:r>
      <m:oMath>
        <m:r>
          <m:t>T</m:t>
        </m:r>
      </m:oMath>
    </w:p>
    <w:p>
      <w:pPr>
        <w:numPr>
          <w:ilvl w:val="0"/>
          <w:numId w:val="1025"/>
        </w:numPr>
        <w:pStyle w:val="Compact"/>
      </w:pPr>
      <w:r>
        <w:rPr>
          <w:rStyle w:val="VerbatimChar"/>
        </w:rPr>
        <w:t xml:space="preserve">noise_window_complete</w:t>
      </w:r>
    </w:p>
    <w:bookmarkEnd w:id="87"/>
    <w:bookmarkStart w:id="88" w:name="thermal-and-risk"/>
    <w:p>
      <w:pPr>
        <w:pStyle w:val="Heading3"/>
      </w:pPr>
      <w:r>
        <w:t xml:space="preserve">Thermal and risk</w:t>
      </w:r>
    </w:p>
    <w:p>
      <w:pPr>
        <w:numPr>
          <w:ilvl w:val="0"/>
          <w:numId w:val="1026"/>
        </w:numPr>
        <w:pStyle w:val="Compact"/>
      </w:pPr>
      <w:r>
        <w:rPr>
          <w:rStyle w:val="VerbatimChar"/>
        </w:rPr>
        <w:t xml:space="preserve">utci_c</w:t>
      </w:r>
    </w:p>
    <w:p>
      <w:pPr>
        <w:numPr>
          <w:ilvl w:val="0"/>
          <w:numId w:val="1026"/>
        </w:numPr>
        <w:pStyle w:val="Compact"/>
      </w:pPr>
      <w:r>
        <w:rPr>
          <w:rStyle w:val="VerbatimChar"/>
        </w:rPr>
        <w:t xml:space="preserve">utci_stress_category</w:t>
      </w:r>
    </w:p>
    <w:p>
      <w:pPr>
        <w:numPr>
          <w:ilvl w:val="0"/>
          <w:numId w:val="1026"/>
        </w:numPr>
        <w:pStyle w:val="Compact"/>
      </w:pPr>
      <w:r>
        <w:rPr>
          <w:rStyle w:val="VerbatimChar"/>
        </w:rPr>
        <w:t xml:space="preserve">utci_input_clamped</w:t>
      </w:r>
    </w:p>
    <w:p>
      <w:pPr>
        <w:numPr>
          <w:ilvl w:val="0"/>
          <w:numId w:val="1026"/>
        </w:numPr>
        <w:pStyle w:val="Compact"/>
      </w:pPr>
      <w:r>
        <w:t xml:space="preserve">optional</w:t>
      </w:r>
      <w:r>
        <w:t xml:space="preserve"> </w:t>
      </w:r>
      <w:r>
        <w:rPr>
          <w:rStyle w:val="VerbatimChar"/>
        </w:rPr>
        <w:t xml:space="preserve">wbgt_outdoor_c</w:t>
      </w:r>
    </w:p>
    <w:p>
      <w:pPr>
        <w:numPr>
          <w:ilvl w:val="0"/>
          <w:numId w:val="1026"/>
        </w:numPr>
        <w:pStyle w:val="Compact"/>
      </w:pPr>
      <w:r>
        <w:t xml:space="preserve">four component levels</w:t>
      </w:r>
    </w:p>
    <w:p>
      <w:pPr>
        <w:numPr>
          <w:ilvl w:val="0"/>
          <w:numId w:val="1026"/>
        </w:numPr>
        <w:pStyle w:val="Compact"/>
      </w:pPr>
      <w:r>
        <w:rPr>
          <w:rStyle w:val="VerbatimChar"/>
        </w:rPr>
        <w:t xml:space="preserve">overall_action_level</w:t>
      </w:r>
    </w:p>
    <w:p>
      <w:pPr>
        <w:numPr>
          <w:ilvl w:val="0"/>
          <w:numId w:val="1026"/>
        </w:numPr>
        <w:pStyle w:val="Compact"/>
      </w:pPr>
      <w:r>
        <w:rPr>
          <w:rStyle w:val="VerbatimChar"/>
        </w:rPr>
        <w:t xml:space="preserve">dominant_issue</w:t>
      </w:r>
    </w:p>
    <w:p>
      <w:pPr>
        <w:numPr>
          <w:ilvl w:val="0"/>
          <w:numId w:val="1026"/>
        </w:numPr>
        <w:pStyle w:val="Compact"/>
      </w:pPr>
      <w:r>
        <w:rPr>
          <w:rStyle w:val="VerbatimChar"/>
        </w:rPr>
        <w:t xml:space="preserve">co_dominant_issues</w:t>
      </w:r>
    </w:p>
    <w:p>
      <w:pPr>
        <w:numPr>
          <w:ilvl w:val="0"/>
          <w:numId w:val="1026"/>
        </w:numPr>
        <w:pStyle w:val="Compact"/>
      </w:pPr>
      <w:r>
        <w:rPr>
          <w:rStyle w:val="VerbatimChar"/>
        </w:rPr>
        <w:t xml:space="preserve">elevated_issues</w:t>
      </w:r>
    </w:p>
    <w:p>
      <w:pPr>
        <w:numPr>
          <w:ilvl w:val="0"/>
          <w:numId w:val="1026"/>
        </w:numPr>
        <w:pStyle w:val="Compact"/>
      </w:pPr>
      <w:r>
        <w:rPr>
          <w:rStyle w:val="VerbatimChar"/>
        </w:rPr>
        <w:t xml:space="preserve">elevated_hazard_count</w:t>
      </w:r>
    </w:p>
    <w:p>
      <w:pPr>
        <w:numPr>
          <w:ilvl w:val="0"/>
          <w:numId w:val="1026"/>
        </w:numPr>
        <w:pStyle w:val="Compact"/>
      </w:pPr>
      <w:r>
        <w:rPr>
          <w:rStyle w:val="VerbatimChar"/>
        </w:rPr>
        <w:t xml:space="preserve">compound_risk_flag</w:t>
      </w:r>
    </w:p>
    <w:p>
      <w:pPr>
        <w:numPr>
          <w:ilvl w:val="0"/>
          <w:numId w:val="1026"/>
        </w:numPr>
        <w:pStyle w:val="Compact"/>
      </w:pPr>
      <w:r>
        <w:rPr>
          <w:rStyle w:val="VerbatimChar"/>
        </w:rPr>
        <w:t xml:space="preserve">overall_action_level_provisional</w:t>
      </w:r>
    </w:p>
    <w:p>
      <w:pPr>
        <w:numPr>
          <w:ilvl w:val="0"/>
          <w:numId w:val="1026"/>
        </w:numPr>
        <w:pStyle w:val="Compact"/>
      </w:pPr>
      <w:r>
        <w:rPr>
          <w:rStyle w:val="VerbatimChar"/>
        </w:rPr>
        <w:t xml:space="preserve">risk_completeness_fraction</w:t>
      </w:r>
    </w:p>
    <w:p>
      <w:pPr>
        <w:numPr>
          <w:ilvl w:val="0"/>
          <w:numId w:val="1026"/>
        </w:numPr>
        <w:pStyle w:val="Compact"/>
      </w:pPr>
      <w:r>
        <w:rPr>
          <w:rStyle w:val="VerbatimChar"/>
        </w:rPr>
        <w:t xml:space="preserve">risk_communication_template_id</w:t>
      </w:r>
    </w:p>
    <w:p>
      <w:pPr>
        <w:numPr>
          <w:ilvl w:val="0"/>
          <w:numId w:val="1026"/>
        </w:numPr>
        <w:pStyle w:val="Compact"/>
      </w:pPr>
      <w:r>
        <w:rPr>
          <w:rStyle w:val="VerbatimChar"/>
        </w:rPr>
        <w:t xml:space="preserve">risk_communication_message</w:t>
      </w:r>
    </w:p>
    <w:p>
      <w:pPr>
        <w:pStyle w:val="FirstParagraph"/>
      </w:pPr>
      <w:r>
        <w:t xml:space="preserve">Array-like CSV fields use canonical JSON arrays with no spaces.</w:t>
      </w:r>
    </w:p>
    <w:bookmarkEnd w:id="88"/>
    <w:bookmarkEnd w:id="89"/>
    <w:bookmarkStart w:id="90" w:name="scenario-file"/>
    <w:p>
      <w:pPr>
        <w:pStyle w:val="Heading2"/>
      </w:pPr>
      <w:r>
        <w:t xml:space="preserve">9.2 Scenario file</w:t>
      </w:r>
    </w:p>
    <w:p>
      <w:pPr>
        <w:pStyle w:val="FirstParagraph"/>
      </w:pPr>
      <w:r>
        <w:rPr>
          <w:rStyle w:val="VerbatimChar"/>
        </w:rPr>
        <w:t xml:space="preserve">scenario.json</w:t>
      </w:r>
      <w:r>
        <w:t xml:space="preserve"> </w:t>
      </w:r>
      <w:r>
        <w:t xml:space="preserve">is the complete normalized configuration echo. It MUST include:</w:t>
      </w:r>
    </w:p>
    <w:p>
      <w:pPr>
        <w:numPr>
          <w:ilvl w:val="0"/>
          <w:numId w:val="1027"/>
        </w:numPr>
        <w:pStyle w:val="Compact"/>
      </w:pPr>
      <w:r>
        <w:t xml:space="preserve">schema, algorithm, and serialization versions;</w:t>
      </w:r>
    </w:p>
    <w:p>
      <w:pPr>
        <w:numPr>
          <w:ilvl w:val="0"/>
          <w:numId w:val="1027"/>
        </w:numPr>
        <w:pStyle w:val="Compact"/>
      </w:pPr>
      <w:r>
        <w:t xml:space="preserve">master seed and stream derivation version;</w:t>
      </w:r>
    </w:p>
    <w:p>
      <w:pPr>
        <w:numPr>
          <w:ilvl w:val="0"/>
          <w:numId w:val="1027"/>
        </w:numPr>
        <w:pStyle w:val="Compact"/>
      </w:pPr>
      <w:r>
        <w:t xml:space="preserve">runtime and reference-container metadata;</w:t>
      </w:r>
    </w:p>
    <w:p>
      <w:pPr>
        <w:numPr>
          <w:ilvl w:val="0"/>
          <w:numId w:val="1027"/>
        </w:numPr>
        <w:pStyle w:val="Compact"/>
      </w:pPr>
      <w:r>
        <w:t xml:space="preserve">all distribution and physical parameters;</w:t>
      </w:r>
    </w:p>
    <w:p>
      <w:pPr>
        <w:numPr>
          <w:ilvl w:val="0"/>
          <w:numId w:val="1027"/>
        </w:numPr>
        <w:pStyle w:val="Compact"/>
      </w:pPr>
      <w:r>
        <w:t xml:space="preserve">initial-condition and warm-up policy;</w:t>
      </w:r>
    </w:p>
    <w:p>
      <w:pPr>
        <w:numPr>
          <w:ilvl w:val="0"/>
          <w:numId w:val="1027"/>
        </w:numPr>
        <w:pStyle w:val="Compact"/>
      </w:pPr>
      <w:r>
        <w:t xml:space="preserve">all window durations and incomplete-window policy;</w:t>
      </w:r>
    </w:p>
    <w:p>
      <w:pPr>
        <w:numPr>
          <w:ilvl w:val="0"/>
          <w:numId w:val="1027"/>
        </w:numPr>
        <w:pStyle w:val="Compact"/>
      </w:pPr>
      <w:r>
        <w:t xml:space="preserve">thresholds, precedence, message templates, and strategy templates;</w:t>
      </w:r>
    </w:p>
    <w:p>
      <w:pPr>
        <w:numPr>
          <w:ilvl w:val="0"/>
          <w:numId w:val="1027"/>
        </w:numPr>
        <w:pStyle w:val="Compact"/>
      </w:pPr>
      <w:r>
        <w:t xml:space="preserve">sensitivity matrix and priority formula parameters;</w:t>
      </w:r>
    </w:p>
    <w:p>
      <w:pPr>
        <w:numPr>
          <w:ilvl w:val="0"/>
          <w:numId w:val="1027"/>
        </w:numPr>
        <w:pStyle w:val="Compact"/>
      </w:pPr>
      <w:r>
        <w:t xml:space="preserve">units and field precision map.</w:t>
      </w:r>
    </w:p>
    <w:p>
      <w:pPr>
        <w:pStyle w:val="FirstParagraph"/>
      </w:pPr>
      <w:r>
        <w:t xml:space="preserve">No undocumented default is allowed. Defaults are materialized into the normalized file.</w:t>
      </w:r>
    </w:p>
    <w:bookmarkEnd w:id="90"/>
    <w:bookmarkStart w:id="91" w:name="arrival-event-file"/>
    <w:p>
      <w:pPr>
        <w:pStyle w:val="Heading2"/>
      </w:pPr>
      <w:r>
        <w:t xml:space="preserve">9.3 Arrival event file</w:t>
      </w:r>
    </w:p>
    <w:p>
      <w:pPr>
        <w:pStyle w:val="FirstParagraph"/>
      </w:pPr>
      <w:r>
        <w:t xml:space="preserve">The file format is JSON Lines: exactly one canonical JSON object (RFC 8785) per line, records ordered by (timestamp, event-class order of Section 6.10, event_sequence_id). Each record has a unique deterministic event ID,</w:t>
      </w:r>
      <w:r>
        <w:t xml:space="preserve"> </w:t>
      </w:r>
      <w:r>
        <w:rPr>
          <w:rStyle w:val="VerbatimChar"/>
        </w:rPr>
        <w:t xml:space="preserve">event_sequence_id</w:t>
      </w:r>
      <w:r>
        <w:t xml:space="preserve">, exact timestamp, event type, visitor ID where applicable, audience segment, offered/admission status, dwell time, scheduled departure, and relevant crowd state.</w:t>
      </w:r>
    </w:p>
    <w:p>
      <w:pPr>
        <w:pStyle w:val="BodyText"/>
      </w:pPr>
      <w:r>
        <w:t xml:space="preserve">If the event file is suppressed for size, the manifest records</w:t>
      </w:r>
      <w:r>
        <w:t xml:space="preserve"> </w:t>
      </w:r>
      <w:r>
        <w:rPr>
          <w:rStyle w:val="VerbatimChar"/>
        </w:rPr>
        <w:t xml:space="preserve">arrival_event_artifact = omitted</w:t>
      </w:r>
      <w:r>
        <w:t xml:space="preserve">, but the validator MUST consume the complete in-memory stream before disposal. Exact regeneration still requires the same scenario and seed.</w:t>
      </w:r>
    </w:p>
    <w:bookmarkEnd w:id="91"/>
    <w:bookmarkStart w:id="92" w:name="manifest"/>
    <w:p>
      <w:pPr>
        <w:pStyle w:val="Heading2"/>
      </w:pPr>
      <w:r>
        <w:t xml:space="preserve">9.4 Manifest</w:t>
      </w:r>
    </w:p>
    <w:p>
      <w:pPr>
        <w:pStyle w:val="FirstParagraph"/>
      </w:pPr>
      <w:r>
        <w:t xml:space="preserve">The manifest includes byte size and SHA-256 for every artifact, plus:</w:t>
      </w:r>
    </w:p>
    <w:p>
      <w:pPr>
        <w:pStyle w:val="SourceCode"/>
      </w:pPr>
      <w:r>
        <w:rPr>
          <w:rStyle w:val="FunctionTok"/>
        </w:rPr>
        <w:t xml:space="preserve">{</w:t>
      </w:r>
      <w:r>
        <w:br/>
      </w:r>
      <w:r>
        <w:rPr>
          <w:rStyle w:val="NormalTok"/>
        </w:rPr>
        <w:t xml:space="preserve">  </w:t>
      </w:r>
      <w:r>
        <w:rPr>
          <w:rStyle w:val="DataTypeTok"/>
        </w:rPr>
        <w:t xml:space="preserve">"schema_version"</w:t>
      </w:r>
      <w:r>
        <w:rPr>
          <w:rStyle w:val="FunctionTok"/>
        </w:rPr>
        <w:t xml:space="preserve">:</w:t>
      </w:r>
      <w:r>
        <w:rPr>
          <w:rStyle w:val="NormalTok"/>
        </w:rPr>
        <w:t xml:space="preserve"> </w:t>
      </w:r>
      <w:r>
        <w:rPr>
          <w:rStyle w:val="StringTok"/>
        </w:rPr>
        <w:t xml:space="preserve">"4.4.0"</w:t>
      </w:r>
      <w:r>
        <w:rPr>
          <w:rStyle w:val="FunctionTok"/>
        </w:rPr>
        <w:t xml:space="preserve">,</w:t>
      </w:r>
      <w:r>
        <w:br/>
      </w:r>
      <w:r>
        <w:rPr>
          <w:rStyle w:val="NormalTok"/>
        </w:rPr>
        <w:t xml:space="preserve">  </w:t>
      </w:r>
      <w:r>
        <w:rPr>
          <w:rStyle w:val="DataTypeTok"/>
        </w:rPr>
        <w:t xml:space="preserve">"algorithm_version"</w:t>
      </w:r>
      <w:r>
        <w:rPr>
          <w:rStyle w:val="FunctionTok"/>
        </w:rPr>
        <w:t xml:space="preserve">:</w:t>
      </w:r>
      <w:r>
        <w:rPr>
          <w:rStyle w:val="NormalTok"/>
        </w:rPr>
        <w:t xml:space="preserve"> </w:t>
      </w:r>
      <w:r>
        <w:rPr>
          <w:rStyle w:val="StringTok"/>
        </w:rPr>
        <w:t xml:space="preserve">"iotsyn-smartcity-4.4.0"</w:t>
      </w:r>
      <w:r>
        <w:rPr>
          <w:rStyle w:val="FunctionTok"/>
        </w:rPr>
        <w:t xml:space="preserve">,</w:t>
      </w:r>
      <w:r>
        <w:br/>
      </w:r>
      <w:r>
        <w:rPr>
          <w:rStyle w:val="NormalTok"/>
        </w:rPr>
        <w:t xml:space="preserve">  </w:t>
      </w:r>
      <w:r>
        <w:rPr>
          <w:rStyle w:val="DataTypeTok"/>
        </w:rPr>
        <w:t xml:space="preserve">"serialization_profile"</w:t>
      </w:r>
      <w:r>
        <w:rPr>
          <w:rStyle w:val="FunctionTok"/>
        </w:rPr>
        <w:t xml:space="preserve">:</w:t>
      </w:r>
      <w:r>
        <w:rPr>
          <w:rStyle w:val="NormalTok"/>
        </w:rPr>
        <w:t xml:space="preserve"> </w:t>
      </w:r>
      <w:r>
        <w:rPr>
          <w:rStyle w:val="StringTok"/>
        </w:rPr>
        <w:t xml:space="preserve">"canonical-json-csv-v1"</w:t>
      </w:r>
      <w:r>
        <w:rPr>
          <w:rStyle w:val="FunctionTok"/>
        </w:rPr>
        <w:t xml:space="preserve">,</w:t>
      </w:r>
      <w:r>
        <w:br/>
      </w:r>
      <w:r>
        <w:rPr>
          <w:rStyle w:val="NormalTok"/>
        </w:rPr>
        <w:t xml:space="preserve">  </w:t>
      </w:r>
      <w:r>
        <w:rPr>
          <w:rStyle w:val="DataTypeTok"/>
        </w:rPr>
        <w:t xml:space="preserve">"git_commit"</w:t>
      </w:r>
      <w:r>
        <w:rPr>
          <w:rStyle w:val="FunctionTok"/>
        </w:rPr>
        <w:t xml:space="preserve">:</w:t>
      </w:r>
      <w:r>
        <w:rPr>
          <w:rStyle w:val="NormalTok"/>
        </w:rPr>
        <w:t xml:space="preserve"> </w:t>
      </w:r>
      <w:r>
        <w:rPr>
          <w:rStyle w:val="StringTok"/>
        </w:rPr>
        <w:t xml:space="preserve">"..."</w:t>
      </w:r>
      <w:r>
        <w:rPr>
          <w:rStyle w:val="FunctionTok"/>
        </w:rPr>
        <w:t xml:space="preserve">,</w:t>
      </w:r>
      <w:r>
        <w:br/>
      </w:r>
      <w:r>
        <w:rPr>
          <w:rStyle w:val="NormalTok"/>
        </w:rPr>
        <w:t xml:space="preserve">  </w:t>
      </w:r>
      <w:r>
        <w:rPr>
          <w:rStyle w:val="DataTypeTok"/>
        </w:rPr>
        <w:t xml:space="preserve">"runtime"</w:t>
      </w:r>
      <w:r>
        <w:rPr>
          <w:rStyle w:val="FunctionTok"/>
        </w:rPr>
        <w:t xml:space="preserve">:</w:t>
      </w:r>
      <w:r>
        <w:rPr>
          <w:rStyle w:val="NormalTok"/>
        </w:rPr>
        <w:t xml:space="preserve"> </w:t>
      </w:r>
      <w:r>
        <w:rPr>
          <w:rStyle w:val="StringTok"/>
        </w:rPr>
        <w:t xml:space="preserve">"..."</w:t>
      </w:r>
      <w:r>
        <w:rPr>
          <w:rStyle w:val="FunctionTok"/>
        </w:rPr>
        <w:t xml:space="preserve">,</w:t>
      </w:r>
      <w:r>
        <w:br/>
      </w:r>
      <w:r>
        <w:rPr>
          <w:rStyle w:val="NormalTok"/>
        </w:rPr>
        <w:t xml:space="preserve">  </w:t>
      </w:r>
      <w:r>
        <w:rPr>
          <w:rStyle w:val="DataTypeTok"/>
        </w:rPr>
        <w:t xml:space="preserve">"container_digest"</w:t>
      </w:r>
      <w:r>
        <w:rPr>
          <w:rStyle w:val="FunctionTok"/>
        </w:rPr>
        <w:t xml:space="preserve">:</w:t>
      </w:r>
      <w:r>
        <w:rPr>
          <w:rStyle w:val="NormalTok"/>
        </w:rPr>
        <w:t xml:space="preserve"> </w:t>
      </w:r>
      <w:r>
        <w:rPr>
          <w:rStyle w:val="StringTok"/>
        </w:rPr>
        <w:t xml:space="preserve">"..."</w:t>
      </w:r>
      <w:r>
        <w:br/>
      </w:r>
      <w:r>
        <w:rPr>
          <w:rStyle w:val="FunctionTok"/>
        </w:rPr>
        <w:t xml:space="preserve">}</w:t>
      </w:r>
    </w:p>
    <w:bookmarkEnd w:id="92"/>
    <w:bookmarkStart w:id="93" w:name="machine-readable-contract-artifacts"/>
    <w:p>
      <w:pPr>
        <w:pStyle w:val="Heading2"/>
      </w:pPr>
      <w:r>
        <w:t xml:space="preserve">9.5 Machine-readable contract artifacts</w:t>
      </w:r>
    </w:p>
    <w:p>
      <w:pPr>
        <w:pStyle w:val="FirstParagraph"/>
      </w:pPr>
      <w:r>
        <w:t xml:space="preserve">The following artifacts ship with this specification and are normative. The validator MUST load them instead of re-encoding the contract in code:</w:t>
      </w:r>
    </w:p>
    <w:p>
      <w:pPr>
        <w:numPr>
          <w:ilvl w:val="0"/>
          <w:numId w:val="1028"/>
        </w:numPr>
        <w:pStyle w:val="Compact"/>
      </w:pPr>
      <w:r>
        <w:rPr>
          <w:rStyle w:val="VerbatimChar"/>
        </w:rPr>
        <w:t xml:space="preserve">IoTSyn-v4_4_0-csv-data-dictionary.json</w:t>
      </w:r>
      <w:r>
        <w:t xml:space="preserve">: every CSV column with name, type, unit, allowed values, nullability, and decimal precision. CSV serialization follows RFC 4180; null is the empty field; booleans are lowercase true/false; array-valued fields hold a canonical JSON array inside one quoted field.</w:t>
      </w:r>
    </w:p>
    <w:p>
      <w:pPr>
        <w:numPr>
          <w:ilvl w:val="0"/>
          <w:numId w:val="1028"/>
        </w:numPr>
        <w:pStyle w:val="Compact"/>
      </w:pPr>
      <w:r>
        <w:rPr>
          <w:rStyle w:val="VerbatimChar"/>
        </w:rPr>
        <w:t xml:space="preserve">IoTSyn-v4_4_0-artifact-schemas.json</w:t>
      </w:r>
      <w:r>
        <w:t xml:space="preserve">: JSON Schemas (draft 2020-12) for the manifest, the normalized scenario skeleton, the strategy file, the validation report, and the arrival-event record.</w:t>
      </w:r>
    </w:p>
    <w:p>
      <w:pPr>
        <w:numPr>
          <w:ilvl w:val="0"/>
          <w:numId w:val="1028"/>
        </w:numPr>
        <w:pStyle w:val="Compact"/>
      </w:pPr>
      <w:r>
        <w:rPr>
          <w:rStyle w:val="VerbatimChar"/>
        </w:rPr>
        <w:t xml:space="preserve">IoTSyn-v4_4_0-tolerance-map.json</w:t>
      </w:r>
      <w:r>
        <w:t xml:space="preserve">: the normative per-field-class numeric tolerances of Section 13.2.</w:t>
      </w:r>
    </w:p>
    <w:p>
      <w:pPr>
        <w:numPr>
          <w:ilvl w:val="0"/>
          <w:numId w:val="1028"/>
        </w:numPr>
        <w:pStyle w:val="Compact"/>
      </w:pPr>
      <w:r>
        <w:rPr>
          <w:rStyle w:val="VerbatimChar"/>
        </w:rPr>
        <w:t xml:space="preserve">IoTSyn-v4_4_0-reference-test-vectors.json</w:t>
      </w:r>
      <w:r>
        <w:t xml:space="preserve">: the complete known-answer set; Appendix A reproduces only a subset.</w:t>
      </w:r>
    </w:p>
    <w:p>
      <w:pPr>
        <w:pStyle w:val="FirstParagraph"/>
      </w:pPr>
      <w:r>
        <w:t xml:space="preserve">Canonical JSON throughout this specification means the JSON Canonicalization Scheme, RFC 8785.</w:t>
      </w:r>
    </w:p>
    <w:bookmarkEnd w:id="93"/>
    <w:bookmarkEnd w:id="94"/>
    <w:bookmarkStart w:id="103" w:name="validation-protocol"/>
    <w:p>
      <w:pPr>
        <w:pStyle w:val="Heading1"/>
      </w:pPr>
      <w:r>
        <w:t xml:space="preserve">10. Validation protocol</w:t>
      </w:r>
    </w:p>
    <w:bookmarkStart w:id="95" w:name="validation-classes"/>
    <w:p>
      <w:pPr>
        <w:pStyle w:val="Heading2"/>
      </w:pPr>
      <w:r>
        <w:t xml:space="preserve">10.1 Validation classes</w:t>
      </w:r>
    </w:p>
    <w:p>
      <w:pPr>
        <w:pStyle w:val="FirstParagraph"/>
      </w:pPr>
      <w:r>
        <w:t xml:space="preserve">Every check declares one class:</w:t>
      </w:r>
    </w:p>
    <w:p>
      <w:pPr>
        <w:numPr>
          <w:ilvl w:val="0"/>
          <w:numId w:val="1029"/>
        </w:numPr>
        <w:pStyle w:val="Compact"/>
      </w:pPr>
      <w:r>
        <w:rPr>
          <w:rStyle w:val="VerbatimChar"/>
        </w:rPr>
        <w:t xml:space="preserve">numerical_correctness</w:t>
      </w:r>
      <w:r>
        <w:t xml:space="preserve">: exact/invariant or tolerance-based mathematical checks;</w:t>
      </w:r>
    </w:p>
    <w:p>
      <w:pPr>
        <w:numPr>
          <w:ilvl w:val="0"/>
          <w:numId w:val="1029"/>
        </w:numPr>
        <w:pStyle w:val="Compact"/>
      </w:pPr>
      <w:r>
        <w:rPr>
          <w:rStyle w:val="VerbatimChar"/>
        </w:rPr>
        <w:t xml:space="preserve">statistical_fidelity</w:t>
      </w:r>
      <w:r>
        <w:t xml:space="preserve">: checks of stochastic generators;</w:t>
      </w:r>
    </w:p>
    <w:p>
      <w:pPr>
        <w:numPr>
          <w:ilvl w:val="0"/>
          <w:numId w:val="1029"/>
        </w:numPr>
        <w:pStyle w:val="Compact"/>
      </w:pPr>
      <w:r>
        <w:rPr>
          <w:rStyle w:val="VerbatimChar"/>
        </w:rPr>
        <w:t xml:space="preserve">internal_consistency</w:t>
      </w:r>
      <w:r>
        <w:t xml:space="preserve">: checks that programmed relationships appeared;</w:t>
      </w:r>
    </w:p>
    <w:p>
      <w:pPr>
        <w:numPr>
          <w:ilvl w:val="0"/>
          <w:numId w:val="1029"/>
        </w:numPr>
        <w:pStyle w:val="Compact"/>
      </w:pPr>
      <w:r>
        <w:rPr>
          <w:rStyle w:val="VerbatimChar"/>
        </w:rPr>
        <w:t xml:space="preserve">external_benchmark</w:t>
      </w:r>
      <w:r>
        <w:t xml:space="preserve">: comparisons with real external data.</w:t>
      </w:r>
    </w:p>
    <w:p>
      <w:pPr>
        <w:pStyle w:val="FirstParagraph"/>
      </w:pPr>
      <w:r>
        <w:t xml:space="preserve">Internal consistency MUST NOT be described as empirical validation.</w:t>
      </w:r>
    </w:p>
    <w:bookmarkEnd w:id="95"/>
    <w:bookmarkStart w:id="96" w:name="status-semantics"/>
    <w:p>
      <w:pPr>
        <w:pStyle w:val="Heading2"/>
      </w:pPr>
      <w:r>
        <w:t xml:space="preserve">10.2 Status semantics</w:t>
      </w:r>
    </w:p>
    <w:p>
      <w:pPr>
        <w:numPr>
          <w:ilvl w:val="0"/>
          <w:numId w:val="1030"/>
        </w:numPr>
        <w:pStyle w:val="Compact"/>
      </w:pPr>
      <w:r>
        <w:rPr>
          <w:rStyle w:val="VerbatimChar"/>
        </w:rPr>
        <w:t xml:space="preserve">FAIL</w:t>
      </w:r>
      <w:r>
        <w:t xml:space="preserve">: deterministic contract or physical invariant violated.</w:t>
      </w:r>
    </w:p>
    <w:p>
      <w:pPr>
        <w:numPr>
          <w:ilvl w:val="0"/>
          <w:numId w:val="1030"/>
        </w:numPr>
        <w:pStyle w:val="Compact"/>
      </w:pPr>
      <w:r>
        <w:rPr>
          <w:rStyle w:val="VerbatimChar"/>
        </w:rPr>
        <w:t xml:space="preserve">WARN</w:t>
      </w:r>
      <w:r>
        <w:t xml:space="preserve">: statistical test rejection, insufficient sample size, domain clamping, incomplete component, or plausibility concern.</w:t>
      </w:r>
    </w:p>
    <w:p>
      <w:pPr>
        <w:numPr>
          <w:ilvl w:val="0"/>
          <w:numId w:val="1030"/>
        </w:numPr>
        <w:pStyle w:val="Compact"/>
      </w:pPr>
      <w:r>
        <w:rPr>
          <w:rStyle w:val="VerbatimChar"/>
        </w:rPr>
        <w:t xml:space="preserve">PASS</w:t>
      </w:r>
      <w:r>
        <w:t xml:space="preserve">: check executed and criterion met.</w:t>
      </w:r>
    </w:p>
    <w:p>
      <w:pPr>
        <w:numPr>
          <w:ilvl w:val="0"/>
          <w:numId w:val="1030"/>
        </w:numPr>
        <w:pStyle w:val="Compact"/>
      </w:pPr>
      <w:r>
        <w:rPr>
          <w:rStyle w:val="VerbatimChar"/>
        </w:rPr>
        <w:t xml:space="preserve">NOT_EVALUATED</w:t>
      </w:r>
      <w:r>
        <w:t xml:space="preserve">: prerequisites not satisfied.</w:t>
      </w:r>
    </w:p>
    <w:p>
      <w:pPr>
        <w:pStyle w:val="FirstParagraph"/>
      </w:pPr>
      <w:r>
        <w:t xml:space="preserve">A stochastic goodness-of-fit rejection alone is a warning, because a correct generator has a non-zero false-rejection probability.</w:t>
      </w:r>
    </w:p>
    <w:bookmarkEnd w:id="96"/>
    <w:bookmarkStart w:id="97" w:name="deterministic-checks"/>
    <w:p>
      <w:pPr>
        <w:pStyle w:val="Heading2"/>
      </w:pPr>
      <w:r>
        <w:t xml:space="preserve">10.3 Deterministic checks</w:t>
      </w:r>
    </w:p>
    <w:p>
      <w:pPr>
        <w:pStyle w:val="FirstParagraph"/>
      </w:pPr>
      <w:r>
        <w:t xml:space="preserve">Mandatory hard checks include:</w:t>
      </w:r>
    </w:p>
    <w:p>
      <w:pPr>
        <w:numPr>
          <w:ilvl w:val="0"/>
          <w:numId w:val="1031"/>
        </w:numPr>
        <w:pStyle w:val="Compact"/>
      </w:pPr>
      <w:r>
        <w:t xml:space="preserve">schema validity;</w:t>
      </w:r>
    </w:p>
    <w:p>
      <w:pPr>
        <w:numPr>
          <w:ilvl w:val="0"/>
          <w:numId w:val="1031"/>
        </w:numPr>
        <w:pStyle w:val="Compact"/>
      </w:pPr>
      <w:r>
        <w:t xml:space="preserve">no non-finite numbers;</w:t>
      </w:r>
    </w:p>
    <w:p>
      <w:pPr>
        <w:numPr>
          <w:ilvl w:val="0"/>
          <w:numId w:val="1031"/>
        </w:numPr>
        <w:pStyle w:val="Compact"/>
      </w:pPr>
      <w:r>
        <w:t xml:space="preserve">time-grid continuity;</w:t>
      </w:r>
    </w:p>
    <w:p>
      <w:pPr>
        <w:numPr>
          <w:ilvl w:val="0"/>
          <w:numId w:val="1031"/>
        </w:numPr>
        <w:pStyle w:val="Compact"/>
      </w:pPr>
      <w:r>
        <w:t xml:space="preserve">range and unit checks;</w:t>
      </w:r>
    </w:p>
    <w:p>
      <w:pPr>
        <w:numPr>
          <w:ilvl w:val="0"/>
          <w:numId w:val="1031"/>
        </w:numPr>
        <w:pStyle w:val="Compact"/>
      </w:pPr>
      <w:r>
        <w:t xml:space="preserve">audience counts sum exactly to occupancy;</w:t>
      </w:r>
    </w:p>
    <w:p>
      <w:pPr>
        <w:numPr>
          <w:ilvl w:val="0"/>
          <w:numId w:val="1031"/>
        </w:numPr>
        <w:pStyle w:val="Compact"/>
      </w:pPr>
      <w:r>
        <w:t xml:space="preserve">occupancy recomputes from events;</w:t>
      </w:r>
    </w:p>
    <w:p>
      <w:pPr>
        <w:numPr>
          <w:ilvl w:val="0"/>
          <w:numId w:val="1031"/>
        </w:numPr>
        <w:pStyle w:val="Compact"/>
      </w:pPr>
      <w:r>
        <w:t xml:space="preserve">capacity-policy event accounting;</w:t>
      </w:r>
    </w:p>
    <w:p>
      <w:pPr>
        <w:numPr>
          <w:ilvl w:val="0"/>
          <w:numId w:val="1031"/>
        </w:numPr>
        <w:pStyle w:val="Compact"/>
      </w:pPr>
      <w:r>
        <w:t xml:space="preserve">pollutant physical series recomputes within tolerance;</w:t>
      </w:r>
    </w:p>
    <w:p>
      <w:pPr>
        <w:numPr>
          <w:ilvl w:val="0"/>
          <w:numId w:val="1031"/>
        </w:numPr>
        <w:pStyle w:val="Compact"/>
      </w:pPr>
      <w:r>
        <w:t xml:space="preserve">observed pollutant columns do not alter physical columns;</w:t>
      </w:r>
    </w:p>
    <w:p>
      <w:pPr>
        <w:numPr>
          <w:ilvl w:val="0"/>
          <w:numId w:val="1031"/>
        </w:numPr>
        <w:pStyle w:val="Compact"/>
      </w:pPr>
      <w:r>
        <w:t xml:space="preserve">rolling windows use correct history and duration;</w:t>
      </w:r>
    </w:p>
    <w:p>
      <w:pPr>
        <w:numPr>
          <w:ilvl w:val="0"/>
          <w:numId w:val="1031"/>
        </w:numPr>
        <w:pStyle w:val="Compact"/>
      </w:pPr>
      <w:r>
        <w:t xml:space="preserve">thermal and risk columns recompute exactly from normalized rules;</w:t>
      </w:r>
    </w:p>
    <w:p>
      <w:pPr>
        <w:numPr>
          <w:ilvl w:val="0"/>
          <w:numId w:val="1031"/>
        </w:numPr>
        <w:pStyle w:val="Compact"/>
      </w:pPr>
      <w:r>
        <w:t xml:space="preserve">strategy episode bounds match source intervals;</w:t>
      </w:r>
    </w:p>
    <w:p>
      <w:pPr>
        <w:numPr>
          <w:ilvl w:val="0"/>
          <w:numId w:val="1031"/>
        </w:numPr>
        <w:pStyle w:val="Compact"/>
      </w:pPr>
      <w:r>
        <w:t xml:space="preserve">manifest hashes match artifacts.</w:t>
      </w:r>
    </w:p>
    <w:bookmarkEnd w:id="97"/>
    <w:bookmarkStart w:id="98" w:name="distributional-tests"/>
    <w:p>
      <w:pPr>
        <w:pStyle w:val="Heading2"/>
      </w:pPr>
      <w:r>
        <w:t xml:space="preserve">10.4 Distributional tests</w:t>
      </w:r>
    </w:p>
    <w:p>
      <w:pPr>
        <w:pStyle w:val="FirstParagraph"/>
      </w:pPr>
      <w:r>
        <w:t xml:space="preserve">The one-sample KS test (Kolmogorov, 1933) is applied only where the reference distribution is fully specified by configuration, not estimated from the tested sample.</w:t>
      </w:r>
    </w:p>
    <w:tbl>
      <w:tblPr>
        <w:tblStyle w:val="Table"/>
        <w:tblW w:type="pct" w:w="5000"/>
        <w:tblLook w:firstRow="1" w:lastRow="0" w:firstColumn="0" w:lastColumn="0" w:noHBand="0" w:noVBand="0" w:val="0020"/>
        <w:jc w:val="start"/>
      </w:tblPr>
      <w:tblGrid>
        <w:gridCol w:w="2640"/>
        <w:gridCol w:w="2640"/>
        <w:gridCol w:w="2640"/>
      </w:tblGrid>
      <w:tr>
        <w:trPr>
          <w:tblHeader w:val="true"/>
        </w:trPr>
        <w:tc>
          <w:tcPr/>
          <w:p>
            <w:pPr>
              <w:pStyle w:val="Compact"/>
              <w:jc w:val="left"/>
            </w:pPr>
            <w:r>
              <w:t xml:space="preserve">Component</w:t>
            </w:r>
          </w:p>
        </w:tc>
        <w:tc>
          <w:tcPr/>
          <w:p>
            <w:pPr>
              <w:pStyle w:val="Compact"/>
              <w:jc w:val="left"/>
            </w:pPr>
            <w:r>
              <w:t xml:space="preserve">Tested quantity</w:t>
            </w:r>
          </w:p>
        </w:tc>
        <w:tc>
          <w:tcPr/>
          <w:p>
            <w:pPr>
              <w:pStyle w:val="Compact"/>
              <w:jc w:val="left"/>
            </w:pPr>
            <w:r>
              <w:t xml:space="preserve">Reference</w:t>
            </w:r>
          </w:p>
        </w:tc>
      </w:tr>
      <w:tr>
        <w:tc>
          <w:tcPr/>
          <w:p>
            <w:pPr>
              <w:pStyle w:val="Compact"/>
              <w:jc w:val="left"/>
            </w:pPr>
            <w:r>
              <w:t xml:space="preserve">Normal generator</w:t>
            </w:r>
          </w:p>
        </w:tc>
        <w:tc>
          <w:tcPr/>
          <w:p>
            <w:pPr>
              <w:pStyle w:val="Compact"/>
              <w:jc w:val="left"/>
            </w:pPr>
            <w:r>
              <w:t xml:space="preserve">raw test draws or AR innovations</w:t>
            </w:r>
          </w:p>
        </w:tc>
        <w:tc>
          <w:tcPr/>
          <w:p>
            <w:pPr>
              <w:pStyle w:val="Compact"/>
              <w:jc w:val="left"/>
            </w:pPr>
            <w:r>
              <w:t xml:space="preserve">configured Normal</w:t>
            </w:r>
          </w:p>
        </w:tc>
      </w:tr>
      <w:tr>
        <w:tc>
          <w:tcPr/>
          <w:p>
            <w:pPr>
              <w:pStyle w:val="Compact"/>
              <w:jc w:val="left"/>
            </w:pPr>
            <w:r>
              <w:t xml:space="preserve">Pollutant observation</w:t>
            </w:r>
          </w:p>
        </w:tc>
        <w:tc>
          <w:tcPr/>
          <w:p>
            <w:pPr>
              <w:pStyle w:val="Compact"/>
              <w:jc w:val="left"/>
            </w:pPr>
            <w:r>
              <w:t xml:space="preserve">corrected log ratio</w:t>
            </w:r>
          </w:p>
        </w:tc>
        <w:tc>
          <w:tcPr/>
          <w:p>
            <w:pPr>
              <w:pStyle w:val="Compact"/>
              <w:jc w:val="left"/>
            </w:pPr>
            <w:r>
              <w:t xml:space="preserve">configured Normal</w:t>
            </w:r>
          </w:p>
        </w:tc>
      </w:tr>
      <w:tr>
        <w:tc>
          <w:tcPr/>
          <w:p>
            <w:pPr>
              <w:pStyle w:val="Compact"/>
              <w:jc w:val="left"/>
            </w:pPr>
            <w:r>
              <w:t xml:space="preserve">Dwell</w:t>
            </w:r>
          </w:p>
        </w:tc>
        <w:tc>
          <w:tcPr/>
          <w:p>
            <w:pPr>
              <w:pStyle w:val="Compact"/>
              <w:jc w:val="left"/>
            </w:pPr>
            <w:r>
              <w:t xml:space="preserve">raw independent samples</w:t>
            </w:r>
          </w:p>
        </w:tc>
        <w:tc>
          <w:tcPr/>
          <w:p>
            <w:pPr>
              <w:pStyle w:val="Compact"/>
              <w:jc w:val="left"/>
            </w:pPr>
            <w:r>
              <w:t xml:space="preserve">configured LogNormal</w:t>
            </w:r>
          </w:p>
        </w:tc>
      </w:tr>
      <w:tr>
        <w:tc>
          <w:tcPr/>
          <w:p>
            <w:pPr>
              <w:pStyle w:val="Compact"/>
              <w:jc w:val="left"/>
            </w:pPr>
            <w:r>
              <w:t xml:space="preserve">Wind</w:t>
            </w:r>
          </w:p>
        </w:tc>
        <w:tc>
          <w:tcPr/>
          <w:p>
            <w:pPr>
              <w:pStyle w:val="Compact"/>
              <w:jc w:val="left"/>
            </w:pPr>
            <w:r>
              <w:t xml:space="preserve">Weibull marginal transform or PIT</w:t>
            </w:r>
          </w:p>
        </w:tc>
        <w:tc>
          <w:tcPr/>
          <w:p>
            <w:pPr>
              <w:pStyle w:val="Compact"/>
              <w:jc w:val="left"/>
            </w:pPr>
            <w:r>
              <w:t xml:space="preserve">Uniform/Weibull</w:t>
            </w:r>
          </w:p>
        </w:tc>
      </w:tr>
      <w:tr>
        <w:tc>
          <w:tcPr/>
          <w:p>
            <w:pPr>
              <w:pStyle w:val="Compact"/>
              <w:jc w:val="left"/>
            </w:pPr>
            <w:r>
              <w:t xml:space="preserve">Time-rescaled arrivals</w:t>
            </w:r>
          </w:p>
        </w:tc>
        <w:tc>
          <w:tcPr/>
          <w:p>
            <w:pPr>
              <w:pStyle w:val="Compact"/>
              <w:jc w:val="left"/>
            </w:pPr>
            <w:r>
              <w:t xml:space="preserve">integrated-intensity increments</w:t>
            </w:r>
          </w:p>
        </w:tc>
        <w:tc>
          <w:tcPr/>
          <w:p>
            <w:pPr>
              <w:pStyle w:val="Compact"/>
              <w:jc w:val="left"/>
            </w:pPr>
            <w:r>
              <w:t xml:space="preserve">Exp(1)</w:t>
            </w:r>
          </w:p>
        </w:tc>
      </w:tr>
    </w:tbl>
    <w:p>
      <w:pPr>
        <w:pStyle w:val="BodyText"/>
      </w:pPr>
      <w:r>
        <w:t xml:space="preserve">A KS test requires at least 50 usable observations by default. Below that, the result is</w:t>
      </w:r>
      <w:r>
        <w:t xml:space="preserve"> </w:t>
      </w:r>
      <w:r>
        <w:rPr>
          <w:rStyle w:val="VerbatimChar"/>
        </w:rPr>
        <w:t xml:space="preserve">NOT_EVALUATED</w:t>
      </w:r>
      <w:r>
        <w:t xml:space="preserve">.</w:t>
      </w:r>
    </w:p>
    <w:p>
      <w:pPr>
        <w:pStyle w:val="BodyText"/>
      </w:pPr>
      <w:r>
        <w:t xml:space="preserve">When multiple tests are run as one validation family, Holm-Bonferroni adjustment is applied at family-wise alpha 0.05. Raw and adjusted p-values are both reported.</w:t>
      </w:r>
    </w:p>
    <w:bookmarkEnd w:id="98"/>
    <w:bookmarkStart w:id="99" w:name="time-rescaling-test"/>
    <w:p>
      <w:pPr>
        <w:pStyle w:val="Heading2"/>
      </w:pPr>
      <w:r>
        <w:t xml:space="preserve">10.5 Time-rescaling test</w:t>
      </w:r>
    </w:p>
    <w:p>
      <w:pPr>
        <w:pStyle w:val="FirstParagraph"/>
      </w:pPr>
      <w:r>
        <w:t xml:space="preserve">For offered events</w:t>
      </w:r>
      <w:r>
        <w:t xml:space="preserve"> </w:t>
      </w:r>
      <m:oMath>
        <m:sSub>
          <m:e>
            <m:r>
              <m:t>t</m:t>
            </m:r>
          </m:e>
          <m:sub>
            <m:r>
              <m:t>i</m:t>
            </m:r>
          </m:sub>
        </m:sSub>
      </m:oMath>
      <w:r>
        <w:t xml:space="preserve">, with piecewise-constant conditional intensity:</w:t>
      </w:r>
    </w:p>
    <w:p>
      <w:pPr>
        <w:pStyle w:val="BodyText"/>
      </w:pPr>
      <m:oMathPara>
        <m:oMathParaPr>
          <m:jc m:val="center"/>
        </m:oMathParaPr>
        <m:oMath>
          <m:sSub>
            <m:e>
              <m:r>
                <m:t>z</m:t>
              </m:r>
            </m:e>
            <m:sub>
              <m:r>
                <m:t>i</m:t>
              </m:r>
            </m:sub>
          </m:sSub>
          <m:r>
            <m:rPr>
              <m:sty m:val="p"/>
            </m:rPr>
            <m:t>=</m:t>
          </m:r>
          <m:r>
            <m:t>Λ</m:t>
          </m:r>
          <m:d>
            <m:dPr>
              <m:begChr m:val="("/>
              <m:endChr m:val=")"/>
              <m:sepChr m:val=""/>
              <m:grow/>
            </m:dPr>
            <m:e>
              <m:sSub>
                <m:e>
                  <m:r>
                    <m:t>t</m:t>
                  </m:r>
                </m:e>
                <m:sub>
                  <m:r>
                    <m:t>i</m:t>
                  </m:r>
                </m:sub>
              </m:sSub>
            </m:e>
          </m:d>
          <m:r>
            <m:rPr>
              <m:sty m:val="p"/>
            </m:rPr>
            <m:t>−</m:t>
          </m:r>
          <m:r>
            <m:t>Λ</m:t>
          </m:r>
          <m:d>
            <m:dPr>
              <m:begChr m:val="("/>
              <m:endChr m:val=")"/>
              <m:sepChr m:val=""/>
              <m:grow/>
            </m:dPr>
            <m:e>
              <m:sSub>
                <m:e>
                  <m:r>
                    <m:t>t</m:t>
                  </m:r>
                </m:e>
                <m:sub>
                  <m:r>
                    <m:t>i</m:t>
                  </m:r>
                  <m:r>
                    <m:rPr>
                      <m:sty m:val="p"/>
                    </m:rPr>
                    <m:t>−</m:t>
                  </m:r>
                  <m:r>
                    <m:t>1</m:t>
                  </m:r>
                </m:sub>
              </m:sSub>
            </m:e>
          </m:d>
          <m:r>
            <m:rPr>
              <m:sty m:val="p"/>
            </m:rPr>
            <m:t>,</m:t>
          </m:r>
          <m:r>
            <m:t>  </m:t>
          </m:r>
          <m:r>
            <m:t>Λ</m:t>
          </m:r>
          <m:d>
            <m:dPr>
              <m:begChr m:val="("/>
              <m:endChr m:val=")"/>
              <m:sepChr m:val=""/>
              <m:grow/>
            </m:dPr>
            <m:e>
              <m:r>
                <m:t>t</m:t>
              </m:r>
            </m:e>
          </m:d>
          <m:r>
            <m:rPr>
              <m:sty m:val="p"/>
            </m:rPr>
            <m:t>=</m:t>
          </m:r>
          <m:nary>
            <m:naryPr>
              <m:chr m:val="∫"/>
              <m:limLoc m:val="subSup"/>
              <m:subHide m:val="off"/>
              <m:supHide m:val="off"/>
            </m:naryPr>
            <m:sub>
              <m:sSub>
                <m:e>
                  <m:r>
                    <m:t>t</m:t>
                  </m:r>
                </m:e>
                <m:sub>
                  <m:r>
                    <m:t>0</m:t>
                  </m:r>
                </m:sub>
              </m:sSub>
            </m:sub>
            <m:sup>
              <m:r>
                <m:t>t</m:t>
              </m:r>
            </m:sup>
            <m:e>
              <m:r>
                <m:t>λ</m:t>
              </m:r>
            </m:e>
          </m:nary>
          <m:d>
            <m:dPr>
              <m:begChr m:val="("/>
              <m:endChr m:val=")"/>
              <m:sepChr m:val=""/>
              <m:grow/>
            </m:dPr>
            <m:e>
              <m:r>
                <m:t>s</m:t>
              </m:r>
              <m:r>
                <m:rPr>
                  <m:sty m:val="p"/>
                </m:rPr>
                <m:t>∣</m:t>
              </m:r>
              <m:r>
                <m:t>s</m:t>
              </m:r>
              <m:r>
                <m:t>t</m:t>
              </m:r>
              <m:r>
                <m:t>a</m:t>
              </m:r>
              <m:r>
                <m:t>t</m:t>
              </m:r>
              <m:r>
                <m:t>e</m:t>
              </m:r>
              <m:r>
                <m:t> </m:t>
              </m:r>
              <m:r>
                <m:t>p</m:t>
              </m:r>
              <m:r>
                <m:t>a</m:t>
              </m:r>
              <m:r>
                <m:t>t</m:t>
              </m:r>
              <m:r>
                <m:t>h</m:t>
              </m:r>
            </m:e>
          </m:d>
          <m:r>
            <m:t> </m:t>
          </m:r>
          <m:r>
            <m:t>d</m:t>
          </m:r>
          <m:r>
            <m:t>s</m:t>
          </m:r>
          <m:r>
            <m:rPr>
              <m:sty m:val="p"/>
            </m:rPr>
            <m:t>.</m:t>
          </m:r>
        </m:oMath>
      </m:oMathPara>
    </w:p>
    <w:p>
      <w:pPr>
        <w:pStyle w:val="FirstParagraph"/>
      </w:pPr>
      <w:r>
        <w:t xml:space="preserve">The</w:t>
      </w:r>
      <w:r>
        <w:t xml:space="preserve"> </w:t>
      </w:r>
      <m:oMath>
        <m:sSub>
          <m:e>
            <m:r>
              <m:t>z</m:t>
            </m:r>
          </m:e>
          <m:sub>
            <m:r>
              <m:t>i</m:t>
            </m:r>
          </m:sub>
        </m:sSub>
      </m:oMath>
      <w:r>
        <w:t xml:space="preserve"> </w:t>
      </w:r>
      <w:r>
        <w:t xml:space="preserve">should be i.i.d. Exp(1). The interval from</w:t>
      </w:r>
      <w:r>
        <w:t xml:space="preserve"> </w:t>
      </w:r>
      <m:oMath>
        <m:sSub>
          <m:e>
            <m:r>
              <m:t>t</m:t>
            </m:r>
          </m:e>
          <m:sub>
            <m:r>
              <m:t>0</m:t>
            </m:r>
          </m:sub>
        </m:sSub>
      </m:oMath>
      <w:r>
        <w:t xml:space="preserve"> </w:t>
      </w:r>
      <w:r>
        <w:t xml:space="preserve">to the first offered event is included; the right-censored interval after the last event is not treated as an event interval.</w:t>
      </w:r>
    </w:p>
    <w:bookmarkEnd w:id="99"/>
    <w:bookmarkStart w:id="100" w:name="pollutant-checks"/>
    <w:p>
      <w:pPr>
        <w:pStyle w:val="Heading2"/>
      </w:pPr>
      <w:r>
        <w:t xml:space="preserve">10.6 Pollutant checks</w:t>
      </w:r>
    </w:p>
    <w:p>
      <w:pPr>
        <w:numPr>
          <w:ilvl w:val="0"/>
          <w:numId w:val="1032"/>
        </w:numPr>
        <w:pStyle w:val="Compact"/>
      </w:pPr>
      <w:r>
        <w:t xml:space="preserve">Reintegrate every physical step using stored inputs.</w:t>
      </w:r>
    </w:p>
    <w:p>
      <w:pPr>
        <w:numPr>
          <w:ilvl w:val="0"/>
          <w:numId w:val="1032"/>
        </w:numPr>
        <w:pStyle w:val="Compact"/>
      </w:pPr>
      <w:r>
        <w:t xml:space="preserve">Verify non-negativity.</w:t>
      </w:r>
    </w:p>
    <w:p>
      <w:pPr>
        <w:numPr>
          <w:ilvl w:val="0"/>
          <w:numId w:val="1032"/>
        </w:numPr>
        <w:pStyle w:val="Compact"/>
      </w:pPr>
      <w:r>
        <w:t xml:space="preserve">Run local counterfactual probes with the mathematically correct expected direction. Higher emissions cannot lower the one-step concentration (unconditional, since the derivative of the one-step update with respect to E is positive). For ventilation, the steady state obeys d(C_infinity)/d(k_vent) = [C_bg(k_dep + k_chem) - E/V] / k_tot^2, so the expected direction is conditional: when E/V &gt; C_bg(k_dep + k_chem) (source-dominated), higher ventilation lowers C_infinity; when E/V &lt; C_bg(k_dep + k_chem) (background-dominated), higher ventilation raises C_infinity toward C_bg; at equality it leaves it unchanged. The validator MUST compute the sign of E/V - C_bg(k_dep + k_chem) for each probe and assert the corresponding direction. Reference vectors cover both regimes.</w:t>
      </w:r>
    </w:p>
    <w:p>
      <w:pPr>
        <w:numPr>
          <w:ilvl w:val="0"/>
          <w:numId w:val="1032"/>
        </w:numPr>
        <w:pStyle w:val="Compact"/>
      </w:pPr>
      <w:r>
        <w:t xml:space="preserve">Test mean preservation of the observation model across a sufficiently large dedicated sample, with a confidence interval.</w:t>
      </w:r>
    </w:p>
    <w:p>
      <w:pPr>
        <w:pStyle w:val="FirstParagraph"/>
      </w:pPr>
      <w:r>
        <w:t xml:space="preserve">Observed trajectory correlations are not used as substitutes for equation-level monotonicity tests.</w:t>
      </w:r>
    </w:p>
    <w:bookmarkEnd w:id="100"/>
    <w:bookmarkStart w:id="101" w:name="coupling-checks"/>
    <w:p>
      <w:pPr>
        <w:pStyle w:val="Heading2"/>
      </w:pPr>
      <w:r>
        <w:t xml:space="preserve">10.7 Coupling checks</w:t>
      </w:r>
    </w:p>
    <w:p>
      <w:pPr>
        <w:pStyle w:val="FirstParagraph"/>
      </w:pPr>
      <w:r>
        <w:t xml:space="preserve">The validator reports effect sizes and uncertainty for programmed couplings, including temperature/RH, occupancy/noise, and thermal deterrence/attendance. These are labelled</w:t>
      </w:r>
      <w:r>
        <w:t xml:space="preserve"> </w:t>
      </w:r>
      <w:r>
        <w:rPr>
          <w:rStyle w:val="VerbatimChar"/>
        </w:rPr>
        <w:t xml:space="preserve">internal_consistency</w:t>
      </w:r>
      <w:r>
        <w:t xml:space="preserve">.</w:t>
      </w:r>
    </w:p>
    <w:bookmarkEnd w:id="101"/>
    <w:bookmarkStart w:id="102" w:name="reference-scenario-suite"/>
    <w:p>
      <w:pPr>
        <w:pStyle w:val="Heading2"/>
      </w:pPr>
      <w:r>
        <w:t xml:space="preserve">10.8 Reference-scenario suite</w:t>
      </w:r>
    </w:p>
    <w:p>
      <w:pPr>
        <w:pStyle w:val="FirstParagraph"/>
      </w:pPr>
      <w:r>
        <w:t xml:space="preserve">Continuous integration SHALL run at least:</w:t>
      </w:r>
    </w:p>
    <w:p>
      <w:pPr>
        <w:numPr>
          <w:ilvl w:val="0"/>
          <w:numId w:val="1033"/>
        </w:numPr>
        <w:pStyle w:val="Compact"/>
      </w:pPr>
      <w:r>
        <w:t xml:space="preserve">mild baseline;</w:t>
      </w:r>
    </w:p>
    <w:p>
      <w:pPr>
        <w:numPr>
          <w:ilvl w:val="0"/>
          <w:numId w:val="1033"/>
        </w:numPr>
        <w:pStyle w:val="Compact"/>
      </w:pPr>
      <w:r>
        <w:t xml:space="preserve">heatwave;</w:t>
      </w:r>
    </w:p>
    <w:p>
      <w:pPr>
        <w:numPr>
          <w:ilvl w:val="0"/>
          <w:numId w:val="1033"/>
        </w:numPr>
        <w:pStyle w:val="Compact"/>
      </w:pPr>
      <w:r>
        <w:t xml:space="preserve">stagnant air;</w:t>
      </w:r>
    </w:p>
    <w:p>
      <w:pPr>
        <w:numPr>
          <w:ilvl w:val="0"/>
          <w:numId w:val="1033"/>
        </w:numPr>
        <w:pStyle w:val="Compact"/>
      </w:pPr>
      <w:r>
        <w:t xml:space="preserve">high wind;</w:t>
      </w:r>
    </w:p>
    <w:p>
      <w:pPr>
        <w:numPr>
          <w:ilvl w:val="0"/>
          <w:numId w:val="1033"/>
        </w:numPr>
        <w:pStyle w:val="Compact"/>
      </w:pPr>
      <w:r>
        <w:t xml:space="preserve">crowded event;</w:t>
      </w:r>
    </w:p>
    <w:p>
      <w:pPr>
        <w:numPr>
          <w:ilvl w:val="0"/>
          <w:numId w:val="1033"/>
        </w:numPr>
        <w:pStyle w:val="Compact"/>
      </w:pPr>
      <w:r>
        <w:t xml:space="preserve">traffic surge with typical occupancy;</w:t>
      </w:r>
    </w:p>
    <w:p>
      <w:pPr>
        <w:numPr>
          <w:ilvl w:val="0"/>
          <w:numId w:val="1033"/>
        </w:numPr>
        <w:pStyle w:val="Compact"/>
      </w:pPr>
      <w:r>
        <w:t xml:space="preserve">empty-space edge case;</w:t>
      </w:r>
    </w:p>
    <w:p>
      <w:pPr>
        <w:numPr>
          <w:ilvl w:val="0"/>
          <w:numId w:val="1033"/>
        </w:numPr>
        <w:pStyle w:val="Compact"/>
      </w:pPr>
      <w:r>
        <w:t xml:space="preserve">capacity rejection edge case;</w:t>
      </w:r>
    </w:p>
    <w:p>
      <w:pPr>
        <w:numPr>
          <w:ilvl w:val="0"/>
          <w:numId w:val="1033"/>
        </w:numPr>
        <w:pStyle w:val="Compact"/>
      </w:pPr>
      <w:r>
        <w:t xml:space="preserve">incomplete-window edge case;</w:t>
      </w:r>
    </w:p>
    <w:p>
      <w:pPr>
        <w:numPr>
          <w:ilvl w:val="0"/>
          <w:numId w:val="1033"/>
        </w:numPr>
        <w:pStyle w:val="Compact"/>
      </w:pPr>
      <w:r>
        <w:t xml:space="preserve">UTCI domain-clamping edge case.</w:t>
      </w:r>
    </w:p>
    <w:p>
      <w:pPr>
        <w:pStyle w:val="FirstParagraph"/>
      </w:pPr>
      <w:r>
        <w:t xml:space="preserve">The suite runs multiple seeds for statistical tests and one fixed seed for exact artifacts.</w:t>
      </w:r>
    </w:p>
    <w:bookmarkEnd w:id="102"/>
    <w:bookmarkEnd w:id="103"/>
    <w:bookmarkStart w:id="104" w:name="scenario-analysis"/>
    <w:p>
      <w:pPr>
        <w:pStyle w:val="Heading1"/>
      </w:pPr>
      <w:r>
        <w:t xml:space="preserve">11. Scenario analysis</w:t>
      </w:r>
    </w:p>
    <w:p>
      <w:pPr>
        <w:pStyle w:val="FirstParagraph"/>
      </w:pPr>
      <w:r>
        <w:t xml:space="preserve">Sensitivity analysis SHOULD vary:</w:t>
      </w:r>
    </w:p>
    <w:p>
      <w:pPr>
        <w:numPr>
          <w:ilvl w:val="0"/>
          <w:numId w:val="1034"/>
        </w:numPr>
        <w:pStyle w:val="Compact"/>
      </w:pPr>
      <w:r>
        <w:t xml:space="preserve">deterrence coefficients;</w:t>
      </w:r>
    </w:p>
    <w:p>
      <w:pPr>
        <w:numPr>
          <w:ilvl w:val="0"/>
          <w:numId w:val="1034"/>
        </w:numPr>
        <w:pStyle w:val="Compact"/>
      </w:pPr>
      <w:r>
        <w:t xml:space="preserve">audience sensitivity values;</w:t>
      </w:r>
    </w:p>
    <w:p>
      <w:pPr>
        <w:numPr>
          <w:ilvl w:val="0"/>
          <w:numId w:val="1034"/>
        </w:numPr>
        <w:pStyle w:val="Compact"/>
      </w:pPr>
      <w:r>
        <w:t xml:space="preserve">dwell distribution;</w:t>
      </w:r>
    </w:p>
    <w:p>
      <w:pPr>
        <w:numPr>
          <w:ilvl w:val="0"/>
          <w:numId w:val="1034"/>
        </w:numPr>
        <w:pStyle w:val="Compact"/>
      </w:pPr>
      <w:r>
        <w:t xml:space="preserve">UHI magnitude;</w:t>
      </w:r>
    </w:p>
    <w:p>
      <w:pPr>
        <w:numPr>
          <w:ilvl w:val="0"/>
          <w:numId w:val="1034"/>
        </w:numPr>
        <w:pStyle w:val="Compact"/>
      </w:pPr>
      <w:r>
        <w:t xml:space="preserve">wind dependence and calm regularization;</w:t>
      </w:r>
    </w:p>
    <w:p>
      <w:pPr>
        <w:numPr>
          <w:ilvl w:val="0"/>
          <w:numId w:val="1034"/>
        </w:numPr>
        <w:pStyle w:val="Compact"/>
      </w:pPr>
      <w:r>
        <w:t xml:space="preserve">emissions and background concentrations;</w:t>
      </w:r>
    </w:p>
    <w:p>
      <w:pPr>
        <w:numPr>
          <w:ilvl w:val="0"/>
          <w:numId w:val="1034"/>
        </w:numPr>
        <w:pStyle w:val="Compact"/>
      </w:pPr>
      <w:r>
        <w:t xml:space="preserve">deposition/chemical loss;</w:t>
      </w:r>
    </w:p>
    <w:p>
      <w:pPr>
        <w:numPr>
          <w:ilvl w:val="0"/>
          <w:numId w:val="1034"/>
        </w:numPr>
        <w:pStyle w:val="Compact"/>
      </w:pPr>
      <w:r>
        <w:t xml:space="preserve">sensor noise and drift;</w:t>
      </w:r>
    </w:p>
    <w:p>
      <w:pPr>
        <w:numPr>
          <w:ilvl w:val="0"/>
          <w:numId w:val="1034"/>
        </w:numPr>
        <w:pStyle w:val="Compact"/>
      </w:pPr>
      <w:r>
        <w:t xml:space="preserve">capacity and admission mode;</w:t>
      </w:r>
    </w:p>
    <w:p>
      <w:pPr>
        <w:numPr>
          <w:ilvl w:val="0"/>
          <w:numId w:val="1034"/>
        </w:numPr>
        <w:pStyle w:val="Compact"/>
      </w:pPr>
      <w:r>
        <w:t xml:space="preserve">averaging windows;</w:t>
      </w:r>
    </w:p>
    <w:p>
      <w:pPr>
        <w:numPr>
          <w:ilvl w:val="0"/>
          <w:numId w:val="1034"/>
        </w:numPr>
        <w:pStyle w:val="Compact"/>
      </w:pPr>
      <w:r>
        <w:t xml:space="preserve">risk thresholds;</w:t>
      </w:r>
    </w:p>
    <w:p>
      <w:pPr>
        <w:numPr>
          <w:ilvl w:val="0"/>
          <w:numId w:val="1034"/>
        </w:numPr>
        <w:pStyle w:val="Compact"/>
      </w:pPr>
      <w:r>
        <w:t xml:space="preserve">episode segmentation; and</w:t>
      </w:r>
    </w:p>
    <w:p>
      <w:pPr>
        <w:numPr>
          <w:ilvl w:val="0"/>
          <w:numId w:val="1034"/>
        </w:numPr>
        <w:pStyle w:val="Compact"/>
      </w:pPr>
      <w:r>
        <w:t xml:space="preserve">priority parameters.</w:t>
      </w:r>
    </w:p>
    <w:p>
      <w:pPr>
        <w:pStyle w:val="FirstParagraph"/>
      </w:pPr>
      <w:r>
        <w:t xml:space="preserve">Results SHOULD report component-level action-band shares, occupancy/exposure distributions, strategy counts, priority ranks, and uncertainty over seeds. Directional plausibility is evidence of coherent model response, not proof of real-world accuracy.</w:t>
      </w:r>
    </w:p>
    <w:bookmarkEnd w:id="104"/>
    <w:bookmarkStart w:id="105" w:name="edge-case-contract"/>
    <w:p>
      <w:pPr>
        <w:pStyle w:val="Heading1"/>
      </w:pPr>
      <w:r>
        <w:t xml:space="preserve">12. Edge-case contract</w:t>
      </w:r>
    </w:p>
    <w:p>
      <w:pPr>
        <w:pStyle w:val="FirstParagraph"/>
      </w:pPr>
      <w:r>
        <w:t xml:space="preserve">The following behaviour is mandatory:</w:t>
      </w:r>
    </w:p>
    <w:tbl>
      <w:tblPr>
        <w:tblStyle w:val="Table"/>
        <w:tblW w:type="pct" w:w="5000"/>
        <w:tblLook w:firstRow="1" w:lastRow="0" w:firstColumn="0" w:lastColumn="0" w:noHBand="0" w:noVBand="0" w:val="0020"/>
        <w:jc w:val="start"/>
      </w:tblPr>
      <w:tblGrid>
        <w:gridCol w:w="3960"/>
        <w:gridCol w:w="3960"/>
      </w:tblGrid>
      <w:tr>
        <w:trPr>
          <w:tblHeader w:val="true"/>
        </w:trPr>
        <w:tc>
          <w:tcPr/>
          <w:p>
            <w:pPr>
              <w:pStyle w:val="Compact"/>
              <w:jc w:val="left"/>
            </w:pPr>
            <w:r>
              <w:t xml:space="preserve">Condition</w:t>
            </w:r>
          </w:p>
        </w:tc>
        <w:tc>
          <w:tcPr/>
          <w:p>
            <w:pPr>
              <w:pStyle w:val="Compact"/>
              <w:jc w:val="left"/>
            </w:pPr>
            <w:r>
              <w:t xml:space="preserve">Required behaviour</w:t>
            </w:r>
          </w:p>
        </w:tc>
      </w:tr>
      <w:tr>
        <w:tc>
          <w:tcPr/>
          <w:p>
            <w:pPr>
              <w:pStyle w:val="Compact"/>
              <w:jc w:val="left"/>
            </w:pPr>
            <w:r>
              <w:t xml:space="preserve">Zero occupancy</w:t>
            </w:r>
          </w:p>
        </w:tc>
        <w:tc>
          <w:tcPr/>
          <w:p>
            <w:pPr>
              <w:pStyle w:val="Compact"/>
              <w:jc w:val="left"/>
            </w:pPr>
            <w:r>
              <w:t xml:space="preserve">pedestrian sound energy is zero; audience counts are zero; dominant audience is null</w:t>
            </w:r>
          </w:p>
        </w:tc>
      </w:tr>
      <w:tr>
        <w:tc>
          <w:tcPr/>
          <w:p>
            <w:pPr>
              <w:pStyle w:val="Compact"/>
              <w:jc w:val="left"/>
            </w:pPr>
            <w:r>
              <w:t xml:space="preserve">No offered arrivals</w:t>
            </w:r>
          </w:p>
        </w:tc>
        <w:tc>
          <w:tcPr/>
          <w:p>
            <w:pPr>
              <w:pStyle w:val="Compact"/>
              <w:jc w:val="left"/>
            </w:pPr>
            <w:r>
              <w:t xml:space="preserve">NHPP test is not evaluated; occupancy still reflects initial visitors</w:t>
            </w:r>
          </w:p>
        </w:tc>
      </w:tr>
      <w:tr>
        <w:tc>
          <w:tcPr/>
          <w:p>
            <w:pPr>
              <w:pStyle w:val="Compact"/>
              <w:jc w:val="left"/>
            </w:pPr>
            <w:r>
              <w:t xml:space="preserve">Physical concentration zero</w:t>
            </w:r>
          </w:p>
        </w:tc>
        <w:tc>
          <w:tcPr/>
          <w:p>
            <w:pPr>
              <w:pStyle w:val="Compact"/>
              <w:jc w:val="left"/>
            </w:pPr>
            <w:r>
              <w:t xml:space="preserve">sensor reading zero in default model; log-ratio row excluded and counted</w:t>
            </w:r>
          </w:p>
        </w:tc>
      </w:tr>
      <w:tr>
        <w:tc>
          <w:tcPr/>
          <w:p>
            <w:pPr>
              <w:pStyle w:val="Compact"/>
              <w:jc w:val="left"/>
            </w:pPr>
            <w:r>
              <w:t xml:space="preserve">Incomplete rolling window</w:t>
            </w:r>
          </w:p>
        </w:tc>
        <w:tc>
          <w:tcPr/>
          <w:p>
            <w:pPr>
              <w:pStyle w:val="Compact"/>
              <w:jc w:val="left"/>
            </w:pPr>
            <w:r>
              <w:t xml:space="preserve">risk component unavailable unless explicit partial-risk policy is enabled</w:t>
            </w:r>
          </w:p>
        </w:tc>
      </w:tr>
      <w:tr>
        <w:tc>
          <w:tcPr/>
          <w:p>
            <w:pPr>
              <w:pStyle w:val="Compact"/>
              <w:jc w:val="left"/>
            </w:pPr>
            <w:r>
              <w:t xml:space="preserve">Capacity K &lt;= 0</w:t>
            </w:r>
          </w:p>
        </w:tc>
        <w:tc>
          <w:tcPr/>
          <w:p>
            <w:pPr>
              <w:pStyle w:val="Compact"/>
              <w:jc w:val="left"/>
            </w:pPr>
            <w:r>
              <w:t xml:space="preserve">configuration rejected</w:t>
            </w:r>
          </w:p>
        </w:tc>
      </w:tr>
      <w:tr>
        <w:tc>
          <w:tcPr/>
          <w:p>
            <w:pPr>
              <w:pStyle w:val="Compact"/>
              <w:jc w:val="left"/>
            </w:pPr>
            <w:r>
              <w:t xml:space="preserve">Wind zero</w:t>
            </w:r>
          </w:p>
        </w:tc>
        <w:tc>
          <w:tcPr/>
          <w:p>
            <w:pPr>
              <w:pStyle w:val="Compact"/>
              <w:jc w:val="left"/>
            </w:pPr>
            <w:r>
              <w:t xml:space="preserve">calm regularization applied; UTCI wind handled by domain policy</w:t>
            </w:r>
          </w:p>
        </w:tc>
      </w:tr>
      <w:tr>
        <w:tc>
          <w:tcPr/>
          <w:p>
            <w:pPr>
              <w:pStyle w:val="Compact"/>
              <w:jc w:val="left"/>
            </w:pPr>
            <w:r>
              <w:t xml:space="preserve">Equal audience counts</w:t>
            </w:r>
          </w:p>
        </w:tc>
        <w:tc>
          <w:tcPr/>
          <w:p>
            <w:pPr>
              <w:pStyle w:val="Compact"/>
              <w:jc w:val="left"/>
            </w:pPr>
            <w:r>
              <w:t xml:space="preserve">fixed documented audience precedence or null tie list; no unstable map-order tie break</w:t>
            </w:r>
          </w:p>
        </w:tc>
      </w:tr>
      <w:tr>
        <w:tc>
          <w:tcPr/>
          <w:p>
            <w:pPr>
              <w:pStyle w:val="Compact"/>
              <w:jc w:val="left"/>
            </w:pPr>
            <w:r>
              <w:t xml:space="preserve">Equal hazard maxima</w:t>
            </w:r>
          </w:p>
        </w:tc>
        <w:tc>
          <w:tcPr/>
          <w:p>
            <w:pPr>
              <w:pStyle w:val="Compact"/>
              <w:jc w:val="left"/>
            </w:pPr>
            <w:r>
              <w:t xml:space="preserve">all ties emitted in</w:t>
            </w:r>
            <w:r>
              <w:t xml:space="preserve"> </w:t>
            </w:r>
            <w:r>
              <w:rPr>
                <w:rStyle w:val="VerbatimChar"/>
              </w:rPr>
              <w:t xml:space="preserve">co_dominant_issues</w:t>
            </w:r>
            <w:r>
              <w:t xml:space="preserve">; precedence only selects convenience field</w:t>
            </w:r>
          </w:p>
        </w:tc>
      </w:tr>
      <w:tr>
        <w:tc>
          <w:tcPr/>
          <w:p>
            <w:pPr>
              <w:pStyle w:val="Compact"/>
              <w:jc w:val="left"/>
            </w:pPr>
            <w:r>
              <w:t xml:space="preserve">No qualifying episodes</w:t>
            </w:r>
          </w:p>
        </w:tc>
        <w:tc>
          <w:tcPr/>
          <w:p>
            <w:pPr>
              <w:pStyle w:val="Compact"/>
              <w:jc w:val="left"/>
            </w:pPr>
            <w:r>
              <w:t xml:space="preserve">valid empty strategy array and explanatory summary</w:t>
            </w:r>
          </w:p>
        </w:tc>
      </w:tr>
      <w:tr>
        <w:tc>
          <w:tcPr/>
          <w:p>
            <w:pPr>
              <w:pStyle w:val="Compact"/>
              <w:jc w:val="left"/>
            </w:pPr>
            <w:r>
              <w:t xml:space="preserve">WBGT in non-heat context</w:t>
            </w:r>
          </w:p>
        </w:tc>
        <w:tc>
          <w:tcPr/>
          <w:p>
            <w:pPr>
              <w:pStyle w:val="Compact"/>
              <w:jc w:val="left"/>
            </w:pPr>
            <w:r>
              <w:t xml:space="preserve">WBGT thermal action unavailable, not low</w:t>
            </w:r>
          </w:p>
        </w:tc>
      </w:tr>
      <w:tr>
        <w:tc>
          <w:tcPr/>
          <w:p>
            <w:pPr>
              <w:pStyle w:val="Compact"/>
              <w:jc w:val="left"/>
            </w:pPr>
            <w:r>
              <w:t xml:space="preserve">Episode touches file boundary</w:t>
            </w:r>
          </w:p>
        </w:tc>
        <w:tc>
          <w:tcPr/>
          <w:p>
            <w:pPr>
              <w:pStyle w:val="Compact"/>
              <w:jc w:val="left"/>
            </w:pPr>
            <w:r>
              <w:t xml:space="preserve">boundary-censored flag emitted</w:t>
            </w:r>
          </w:p>
        </w:tc>
      </w:tr>
      <w:tr>
        <w:tc>
          <w:tcPr/>
          <w:p>
            <w:pPr>
              <w:pStyle w:val="Compact"/>
              <w:jc w:val="left"/>
            </w:pPr>
            <w:r>
              <w:t xml:space="preserve">Fewer than 50 KS observations</w:t>
            </w:r>
          </w:p>
        </w:tc>
        <w:tc>
          <w:tcPr/>
          <w:p>
            <w:pPr>
              <w:pStyle w:val="Compact"/>
              <w:jc w:val="left"/>
            </w:pPr>
            <w:r>
              <w:rPr>
                <w:rStyle w:val="VerbatimChar"/>
              </w:rPr>
              <w:t xml:space="preserve">NOT_EVALUATED</w:t>
            </w:r>
            <w:r>
              <w:t xml:space="preserve">, not pass</w:t>
            </w:r>
          </w:p>
        </w:tc>
      </w:tr>
      <w:tr>
        <w:tc>
          <w:tcPr/>
          <w:p>
            <w:pPr>
              <w:pStyle w:val="Compact"/>
              <w:jc w:val="left"/>
            </w:pPr>
            <w:r>
              <w:t xml:space="preserve">Invalid transition row</w:t>
            </w:r>
          </w:p>
        </w:tc>
        <w:tc>
          <w:tcPr/>
          <w:p>
            <w:pPr>
              <w:pStyle w:val="Compact"/>
              <w:jc w:val="left"/>
            </w:pPr>
            <w:r>
              <w:t xml:space="preserve">configuration rejected</w:t>
            </w:r>
          </w:p>
        </w:tc>
      </w:tr>
      <w:tr>
        <w:tc>
          <w:tcPr/>
          <w:p>
            <w:pPr>
              <w:pStyle w:val="Compact"/>
              <w:jc w:val="left"/>
            </w:pPr>
            <w:r>
              <w:t xml:space="preserve">Non-finite result</w:t>
            </w:r>
          </w:p>
        </w:tc>
        <w:tc>
          <w:tcPr/>
          <w:p>
            <w:pPr>
              <w:pStyle w:val="Compact"/>
              <w:jc w:val="left"/>
            </w:pPr>
            <w:r>
              <w:t xml:space="preserve">run fails before serialization</w:t>
            </w:r>
          </w:p>
        </w:tc>
      </w:tr>
      <w:tr>
        <w:tc>
          <w:tcPr/>
          <w:p>
            <w:pPr>
              <w:pStyle w:val="Compact"/>
              <w:jc w:val="left"/>
            </w:pPr>
            <w:r>
              <w:t xml:space="preserve">Deferred wait reaches maximum_defer_minutes</w:t>
            </w:r>
          </w:p>
        </w:tc>
        <w:tc>
          <w:tcPr/>
          <w:p>
            <w:pPr>
              <w:pStyle w:val="Compact"/>
              <w:jc w:val="left"/>
            </w:pPr>
            <w:r>
              <w:t xml:space="preserve">visitor exits queue as</w:t>
            </w:r>
            <w:r>
              <w:t xml:space="preserve"> </w:t>
            </w:r>
            <w:r>
              <w:rPr>
                <w:rStyle w:val="VerbatimChar"/>
              </w:rPr>
              <w:t xml:space="preserve">deferred_timeout</w:t>
            </w:r>
            <w:r>
              <w:t xml:space="preserve">; conservation identity of Section 6.10 holds</w:t>
            </w:r>
          </w:p>
        </w:tc>
      </w:tr>
      <w:tr>
        <w:tc>
          <w:tcPr/>
          <w:p>
            <w:pPr>
              <w:pStyle w:val="Compact"/>
              <w:jc w:val="left"/>
            </w:pPr>
            <w:r>
              <w:t xml:space="preserve">All enabled hazards unavailable</w:t>
            </w:r>
          </w:p>
        </w:tc>
        <w:tc>
          <w:tcPr/>
          <w:p>
            <w:pPr>
              <w:pStyle w:val="Compact"/>
              <w:jc w:val="left"/>
            </w:pPr>
            <w:r>
              <w:t xml:space="preserve">overall level null, completeness 0, provisional true,</w:t>
            </w:r>
            <w:r>
              <w:t xml:space="preserve"> </w:t>
            </w:r>
            <w:r>
              <w:rPr>
                <w:rStyle w:val="VerbatimChar"/>
              </w:rPr>
              <w:t xml:space="preserve">insufficient_data</w:t>
            </w:r>
            <w:r>
              <w:t xml:space="preserve"> </w:t>
            </w:r>
            <w:r>
              <w:t xml:space="preserve">template</w:t>
            </w:r>
          </w:p>
        </w:tc>
      </w:tr>
      <w:tr>
        <w:tc>
          <w:tcPr/>
          <w:p>
            <w:pPr>
              <w:pStyle w:val="Compact"/>
              <w:jc w:val="left"/>
            </w:pPr>
            <w:r>
              <w:t xml:space="preserve">Polar day (no sunset)</w:t>
            </w:r>
          </w:p>
        </w:tc>
        <w:tc>
          <w:tcPr/>
          <w:p>
            <w:pPr>
              <w:pStyle w:val="Compact"/>
              <w:jc w:val="left"/>
            </w:pPr>
            <w:r>
              <w:t xml:space="preserve">UHI nocturnal indicator zero; flagged</w:t>
            </w:r>
          </w:p>
        </w:tc>
      </w:tr>
      <w:tr>
        <w:tc>
          <w:tcPr/>
          <w:p>
            <w:pPr>
              <w:pStyle w:val="Compact"/>
              <w:jc w:val="left"/>
            </w:pPr>
            <w:r>
              <w:t xml:space="preserve">Polar night (no sunrise)</w:t>
            </w:r>
          </w:p>
        </w:tc>
        <w:tc>
          <w:tcPr/>
          <w:p>
            <w:pPr>
              <w:pStyle w:val="Compact"/>
              <w:jc w:val="left"/>
            </w:pPr>
            <w:r>
              <w:t xml:space="preserve">h_peak from local solar midnight plus lag; indicator one; flagged</w:t>
            </w:r>
          </w:p>
        </w:tc>
      </w:tr>
      <w:tr>
        <w:tc>
          <w:tcPr/>
          <w:p>
            <w:pPr>
              <w:pStyle w:val="Compact"/>
              <w:jc w:val="left"/>
            </w:pPr>
            <w:r>
              <w:t xml:space="preserve">Audience knot interpolation across midnight</w:t>
            </w:r>
          </w:p>
        </w:tc>
        <w:tc>
          <w:tcPr/>
          <w:p>
            <w:pPr>
              <w:pStyle w:val="Compact"/>
              <w:jc w:val="left"/>
            </w:pPr>
            <w:r>
              <w:t xml:space="preserve">circular 24-hour interpolation; no discontinuity</w:t>
            </w:r>
          </w:p>
        </w:tc>
      </w:tr>
      <w:tr>
        <w:tc>
          <w:tcPr/>
          <w:p>
            <w:pPr>
              <w:pStyle w:val="Compact"/>
              <w:jc w:val="left"/>
            </w:pPr>
            <w:r>
              <w:t xml:space="preserve">Interpolated audience probability sum zero</w:t>
            </w:r>
          </w:p>
        </w:tc>
        <w:tc>
          <w:tcPr/>
          <w:p>
            <w:pPr>
              <w:pStyle w:val="Compact"/>
              <w:jc w:val="left"/>
            </w:pPr>
            <w:r>
              <w:t xml:space="preserve">configuration rejected at canonicalization</w:t>
            </w:r>
          </w:p>
        </w:tc>
      </w:tr>
      <w:tr>
        <w:tc>
          <w:tcPr/>
          <w:p>
            <w:pPr>
              <w:pStyle w:val="Compact"/>
              <w:jc w:val="left"/>
            </w:pPr>
            <w:r>
              <w:t xml:space="preserve">Background-dominated pollutant regime</w:t>
            </w:r>
          </w:p>
        </w:tc>
        <w:tc>
          <w:tcPr/>
          <w:p>
            <w:pPr>
              <w:pStyle w:val="Compact"/>
              <w:jc w:val="left"/>
            </w:pPr>
            <w:r>
              <w:t xml:space="preserve">ventilation probe expects concentration to rise toward C_bg (Section 10.6)</w:t>
            </w:r>
          </w:p>
        </w:tc>
      </w:tr>
    </w:tbl>
    <w:bookmarkEnd w:id="105"/>
    <w:bookmarkStart w:id="109" w:name="reproducibility-contract"/>
    <w:p>
      <w:pPr>
        <w:pStyle w:val="Heading1"/>
      </w:pPr>
      <w:r>
        <w:t xml:space="preserve">13. Reproducibility contract</w:t>
      </w:r>
    </w:p>
    <w:bookmarkStart w:id="106" w:name="Xc6d231c6d09373fea02106dcb6d6508109eee8b"/>
    <w:p>
      <w:pPr>
        <w:pStyle w:val="Heading2"/>
      </w:pPr>
      <w:r>
        <w:t xml:space="preserve">13.1 Exact reference-container reproducibility</w:t>
      </w:r>
    </w:p>
    <w:p>
      <w:pPr>
        <w:pStyle w:val="FirstParagraph"/>
      </w:pPr>
      <w:r>
        <w:t xml:space="preserve">Exact byte identity is guaranteed only when all of the following match:</w:t>
      </w:r>
    </w:p>
    <w:p>
      <w:pPr>
        <w:numPr>
          <w:ilvl w:val="0"/>
          <w:numId w:val="1035"/>
        </w:numPr>
        <w:pStyle w:val="Compact"/>
      </w:pPr>
      <w:r>
        <w:t xml:space="preserve">normalized scenario JSON;</w:t>
      </w:r>
    </w:p>
    <w:p>
      <w:pPr>
        <w:numPr>
          <w:ilvl w:val="0"/>
          <w:numId w:val="1035"/>
        </w:numPr>
        <w:pStyle w:val="Compact"/>
      </w:pPr>
      <w:r>
        <w:t xml:space="preserve">master seed;</w:t>
      </w:r>
    </w:p>
    <w:p>
      <w:pPr>
        <w:numPr>
          <w:ilvl w:val="0"/>
          <w:numId w:val="1035"/>
        </w:numPr>
        <w:pStyle w:val="Compact"/>
      </w:pPr>
      <w:r>
        <w:t xml:space="preserve">algorithm version;</w:t>
      </w:r>
    </w:p>
    <w:p>
      <w:pPr>
        <w:numPr>
          <w:ilvl w:val="0"/>
          <w:numId w:val="1035"/>
        </w:numPr>
        <w:pStyle w:val="Compact"/>
      </w:pPr>
      <w:r>
        <w:t xml:space="preserve">schema version;</w:t>
      </w:r>
    </w:p>
    <w:p>
      <w:pPr>
        <w:numPr>
          <w:ilvl w:val="0"/>
          <w:numId w:val="1035"/>
        </w:numPr>
        <w:pStyle w:val="Compact"/>
      </w:pPr>
      <w:r>
        <w:t xml:space="preserve">source commit;</w:t>
      </w:r>
    </w:p>
    <w:p>
      <w:pPr>
        <w:numPr>
          <w:ilvl w:val="0"/>
          <w:numId w:val="1035"/>
        </w:numPr>
        <w:pStyle w:val="Compact"/>
      </w:pPr>
      <w:r>
        <w:t xml:space="preserve">64-bit reference container digest;</w:t>
      </w:r>
    </w:p>
    <w:p>
      <w:pPr>
        <w:numPr>
          <w:ilvl w:val="0"/>
          <w:numId w:val="1035"/>
        </w:numPr>
        <w:pStyle w:val="Compact"/>
      </w:pPr>
      <w:r>
        <w:t xml:space="preserve">dependency lockfile;</w:t>
      </w:r>
    </w:p>
    <w:p>
      <w:pPr>
        <w:numPr>
          <w:ilvl w:val="0"/>
          <w:numId w:val="1035"/>
        </w:numPr>
        <w:pStyle w:val="Compact"/>
      </w:pPr>
      <w:r>
        <w:t xml:space="preserve">canonical serialization profile.</w:t>
      </w:r>
    </w:p>
    <w:p>
      <w:pPr>
        <w:pStyle w:val="FirstParagraph"/>
      </w:pPr>
      <w:r>
        <w:t xml:space="preserve">The release process MUST publish at least one reference container digest and golden artifact hashes.</w:t>
      </w:r>
    </w:p>
    <w:bookmarkEnd w:id="106"/>
    <w:bookmarkStart w:id="107" w:name="cross-runtime-numeric-reproducibility"/>
    <w:p>
      <w:pPr>
        <w:pStyle w:val="Heading2"/>
      </w:pPr>
      <w:r>
        <w:t xml:space="preserve">13.2 Cross-runtime numeric reproducibility</w:t>
      </w:r>
    </w:p>
    <w:p>
      <w:pPr>
        <w:pStyle w:val="FirstParagraph"/>
      </w:pPr>
      <w:r>
        <w:t xml:space="preserve">Outside the reference container, conformance is evaluated using:</w:t>
      </w:r>
    </w:p>
    <w:p>
      <w:pPr>
        <w:numPr>
          <w:ilvl w:val="0"/>
          <w:numId w:val="1036"/>
        </w:numPr>
        <w:pStyle w:val="Compact"/>
      </w:pPr>
      <w:r>
        <w:t xml:space="preserve">exact MT19937 unsigned integer vectors;</w:t>
      </w:r>
    </w:p>
    <w:p>
      <w:pPr>
        <w:numPr>
          <w:ilvl w:val="0"/>
          <w:numId w:val="1036"/>
        </w:numPr>
        <w:pStyle w:val="Compact"/>
      </w:pPr>
      <w:r>
        <w:t xml:space="preserve">exact event counts and categorical decisions where transcendental functions do not alter branch boundaries;</w:t>
      </w:r>
    </w:p>
    <w:p>
      <w:pPr>
        <w:numPr>
          <w:ilvl w:val="0"/>
          <w:numId w:val="1036"/>
        </w:numPr>
        <w:pStyle w:val="Compact"/>
      </w:pPr>
      <w:r>
        <w:t xml:space="preserve">per-field absolute and relative numeric tolerances for floating-point outputs;</w:t>
      </w:r>
    </w:p>
    <w:p>
      <w:pPr>
        <w:numPr>
          <w:ilvl w:val="0"/>
          <w:numId w:val="1036"/>
        </w:numPr>
        <w:pStyle w:val="Compact"/>
      </w:pPr>
      <w:r>
        <w:t xml:space="preserve">exact schema and logical invariants.</w:t>
      </w:r>
    </w:p>
    <w:p>
      <w:pPr>
        <w:pStyle w:val="FirstParagraph"/>
      </w:pPr>
      <w:r>
        <w:t xml:space="preserve">The tolerance map ships as</w:t>
      </w:r>
      <w:r>
        <w:t xml:space="preserve"> </w:t>
      </w:r>
      <w:r>
        <w:rPr>
          <w:rStyle w:val="VerbatimChar"/>
        </w:rPr>
        <w:t xml:space="preserve">IoTSyn-v4_4_0-tolerance-map.json</w:t>
      </w:r>
      <w:r>
        <w:t xml:space="preserve"> </w:t>
      </w:r>
      <w:r>
        <w:t xml:space="preserve">and is normative for cross-runtime conformance; a release MUST republish it if any tolerance changes. A suggested baseline is absolute tolerance</w:t>
      </w:r>
      <w:r>
        <w:t xml:space="preserve"> </w:t>
      </w:r>
      <m:oMath>
        <m:sSup>
          <m:e>
            <m:r>
              <m:t>10</m:t>
            </m:r>
          </m:e>
          <m:sup>
            <m:r>
              <m:rPr>
                <m:sty m:val="p"/>
              </m:rPr>
              <m:t>−</m:t>
            </m:r>
            <m:r>
              <m:t>10</m:t>
            </m:r>
          </m:sup>
        </m:sSup>
      </m:oMath>
      <w:r>
        <w:t xml:space="preserve"> </w:t>
      </w:r>
      <w:r>
        <w:t xml:space="preserve">and relative tolerance</w:t>
      </w:r>
      <w:r>
        <w:t xml:space="preserve"> </w:t>
      </w:r>
      <m:oMath>
        <m:sSup>
          <m:e>
            <m:r>
              <m:t>10</m:t>
            </m:r>
          </m:e>
          <m:sup>
            <m:r>
              <m:rPr>
                <m:sty m:val="p"/>
              </m:rPr>
              <m:t>−</m:t>
            </m:r>
            <m:r>
              <m:t>10</m:t>
            </m:r>
          </m:sup>
        </m:sSup>
      </m:oMath>
      <w:r>
        <w:t xml:space="preserve"> </w:t>
      </w:r>
      <w:r>
        <w:t xml:space="preserve">for intermediate physical calculations before presentation rounding, but tighter or looser field-specific tolerances may be justified.</w:t>
      </w:r>
    </w:p>
    <w:bookmarkEnd w:id="107"/>
    <w:bookmarkStart w:id="108" w:name="canonical-serialization"/>
    <w:p>
      <w:pPr>
        <w:pStyle w:val="Heading2"/>
      </w:pPr>
      <w:r>
        <w:t xml:space="preserve">13.3 Canonical serialization</w:t>
      </w:r>
    </w:p>
    <w:p>
      <w:pPr>
        <w:pStyle w:val="FirstParagraph"/>
      </w:pPr>
      <w:r>
        <w:t xml:space="preserve">The profile fixes:</w:t>
      </w:r>
    </w:p>
    <w:p>
      <w:pPr>
        <w:numPr>
          <w:ilvl w:val="0"/>
          <w:numId w:val="1037"/>
        </w:numPr>
        <w:pStyle w:val="Compact"/>
      </w:pPr>
      <w:r>
        <w:t xml:space="preserve">locale</w:t>
      </w:r>
      <w:r>
        <w:t xml:space="preserve"> </w:t>
      </w:r>
      <w:r>
        <w:rPr>
          <w:rStyle w:val="VerbatimChar"/>
        </w:rPr>
        <w:t xml:space="preserve">C</w:t>
      </w:r>
      <w:r>
        <w:t xml:space="preserve">;</w:t>
      </w:r>
    </w:p>
    <w:p>
      <w:pPr>
        <w:numPr>
          <w:ilvl w:val="0"/>
          <w:numId w:val="1037"/>
        </w:numPr>
        <w:pStyle w:val="Compact"/>
      </w:pPr>
      <w:r>
        <w:t xml:space="preserve">UTF-8 without BOM;</w:t>
      </w:r>
    </w:p>
    <w:p>
      <w:pPr>
        <w:numPr>
          <w:ilvl w:val="0"/>
          <w:numId w:val="1037"/>
        </w:numPr>
        <w:pStyle w:val="Compact"/>
      </w:pPr>
      <w:r>
        <w:t xml:space="preserve">newline</w:t>
      </w:r>
      <w:r>
        <w:t xml:space="preserve"> </w:t>
      </w:r>
      <w:r>
        <w:rPr>
          <w:rStyle w:val="VerbatimChar"/>
        </w:rPr>
        <w:t xml:space="preserve">\n</w:t>
      </w:r>
      <w:r>
        <w:t xml:space="preserve">;</w:t>
      </w:r>
    </w:p>
    <w:p>
      <w:pPr>
        <w:numPr>
          <w:ilvl w:val="0"/>
          <w:numId w:val="1037"/>
        </w:numPr>
        <w:pStyle w:val="Compact"/>
      </w:pPr>
      <w:r>
        <w:t xml:space="preserve">fixed column order;</w:t>
      </w:r>
    </w:p>
    <w:p>
      <w:pPr>
        <w:numPr>
          <w:ilvl w:val="0"/>
          <w:numId w:val="1037"/>
        </w:numPr>
        <w:pStyle w:val="Compact"/>
      </w:pPr>
      <w:r>
        <w:t xml:space="preserve">fixed decimal digits per field;</w:t>
      </w:r>
    </w:p>
    <w:p>
      <w:pPr>
        <w:numPr>
          <w:ilvl w:val="0"/>
          <w:numId w:val="1037"/>
        </w:numPr>
        <w:pStyle w:val="Compact"/>
      </w:pPr>
      <w:r>
        <w:t xml:space="preserve">decimal point</w:t>
      </w:r>
      <w:r>
        <w:t xml:space="preserve"> </w:t>
      </w:r>
      <w:r>
        <w:rPr>
          <w:rStyle w:val="VerbatimChar"/>
        </w:rPr>
        <w:t xml:space="preserve">.</w:t>
      </w:r>
      <w:r>
        <w:t xml:space="preserve">;</w:t>
      </w:r>
    </w:p>
    <w:p>
      <w:pPr>
        <w:numPr>
          <w:ilvl w:val="0"/>
          <w:numId w:val="1037"/>
        </w:numPr>
        <w:pStyle w:val="Compact"/>
      </w:pPr>
      <w:r>
        <w:t xml:space="preserve">no grouping separators;</w:t>
      </w:r>
    </w:p>
    <w:p>
      <w:pPr>
        <w:numPr>
          <w:ilvl w:val="0"/>
          <w:numId w:val="1037"/>
        </w:numPr>
        <w:pStyle w:val="Compact"/>
      </w:pPr>
      <w:r>
        <w:t xml:space="preserve">negative zero normalized to zero;</w:t>
      </w:r>
    </w:p>
    <w:p>
      <w:pPr>
        <w:numPr>
          <w:ilvl w:val="0"/>
          <w:numId w:val="1037"/>
        </w:numPr>
        <w:pStyle w:val="Compact"/>
      </w:pPr>
      <w:r>
        <w:t xml:space="preserve">ISO 8601 timestamps with offset;</w:t>
      </w:r>
    </w:p>
    <w:p>
      <w:pPr>
        <w:numPr>
          <w:ilvl w:val="0"/>
          <w:numId w:val="1037"/>
        </w:numPr>
        <w:pStyle w:val="Compact"/>
      </w:pPr>
      <w:r>
        <w:t xml:space="preserve">canonical JSON object key ordering;</w:t>
      </w:r>
    </w:p>
    <w:p>
      <w:pPr>
        <w:numPr>
          <w:ilvl w:val="0"/>
          <w:numId w:val="1037"/>
        </w:numPr>
        <w:pStyle w:val="Compact"/>
      </w:pPr>
      <w:r>
        <w:t xml:space="preserve">compact JSON arrays in CSV;</w:t>
      </w:r>
    </w:p>
    <w:p>
      <w:pPr>
        <w:numPr>
          <w:ilvl w:val="0"/>
          <w:numId w:val="1037"/>
        </w:numPr>
        <w:pStyle w:val="Compact"/>
      </w:pPr>
      <w:r>
        <w:t xml:space="preserve">no non-finite values.</w:t>
      </w:r>
    </w:p>
    <w:bookmarkEnd w:id="108"/>
    <w:bookmarkEnd w:id="109"/>
    <w:bookmarkStart w:id="110" w:name="security-privacy-and-ethical-use"/>
    <w:p>
      <w:pPr>
        <w:pStyle w:val="Heading1"/>
      </w:pPr>
      <w:r>
        <w:t xml:space="preserve">14. Security, privacy, and ethical use</w:t>
      </w:r>
    </w:p>
    <w:p>
      <w:pPr>
        <w:pStyle w:val="FirstParagraph"/>
      </w:pPr>
      <w:r>
        <w:t xml:space="preserve">All people and audience segments in a generated scenario are synthetic. Visitor IDs MUST be run-local pseudonymous identifiers. The platform SHOULD avoid generating attributes that could be mistaken for real personal data unless clearly labelled synthetic.</w:t>
      </w:r>
    </w:p>
    <w:p>
      <w:pPr>
        <w:pStyle w:val="BodyText"/>
      </w:pPr>
      <w:r>
        <w:t xml:space="preserve">Audience sensitivity is an aggregate configurable planning assumption. It MUST NOT be used to make consequential decisions about identifiable individuals.</w:t>
      </w:r>
    </w:p>
    <w:bookmarkEnd w:id="110"/>
    <w:bookmarkStart w:id="111" w:name="scope-and-limitations"/>
    <w:p>
      <w:pPr>
        <w:pStyle w:val="Heading1"/>
      </w:pPr>
      <w:r>
        <w:t xml:space="preserve">15. Scope and limitations</w:t>
      </w:r>
    </w:p>
    <w:p>
      <w:pPr>
        <w:numPr>
          <w:ilvl w:val="0"/>
          <w:numId w:val="1038"/>
        </w:numPr>
        <w:pStyle w:val="Compact"/>
      </w:pPr>
      <w:r>
        <w:t xml:space="preserve">The urban climate model is lumped and does not resolve street-canyon flow or detailed shading.</w:t>
      </w:r>
    </w:p>
    <w:p>
      <w:pPr>
        <w:numPr>
          <w:ilvl w:val="0"/>
          <w:numId w:val="1038"/>
        </w:numPr>
        <w:pStyle w:val="Compact"/>
      </w:pPr>
      <w:r>
        <w:t xml:space="preserve">The mean-radiant-temperature formula is an operational approximation.</w:t>
      </w:r>
    </w:p>
    <w:p>
      <w:pPr>
        <w:numPr>
          <w:ilvl w:val="0"/>
          <w:numId w:val="1038"/>
        </w:numPr>
        <w:pStyle w:val="Compact"/>
      </w:pPr>
      <w:r>
        <w:t xml:space="preserve">The pollutant box omits spatial gradients, complex chemistry, and plume dynamics.</w:t>
      </w:r>
    </w:p>
    <w:p>
      <w:pPr>
        <w:numPr>
          <w:ilvl w:val="0"/>
          <w:numId w:val="1038"/>
        </w:numPr>
        <w:pStyle w:val="Compact"/>
      </w:pPr>
      <w:r>
        <w:t xml:space="preserve">The traffic-emission mapping is scenario-level and requires calibration for city-specific use.</w:t>
      </w:r>
    </w:p>
    <w:p>
      <w:pPr>
        <w:numPr>
          <w:ilvl w:val="0"/>
          <w:numId w:val="1038"/>
        </w:numPr>
        <w:pStyle w:val="Compact"/>
      </w:pPr>
      <w:r>
        <w:t xml:space="preserve">The noise model is an energetic aggregate, not a propagation model.</w:t>
      </w:r>
    </w:p>
    <w:p>
      <w:pPr>
        <w:numPr>
          <w:ilvl w:val="0"/>
          <w:numId w:val="1038"/>
        </w:numPr>
        <w:pStyle w:val="Compact"/>
      </w:pPr>
      <w:r>
        <w:t xml:space="preserve">The pedestrian model represents aggregate arrivals and dwell, not trajectories or social interactions.</w:t>
      </w:r>
    </w:p>
    <w:p>
      <w:pPr>
        <w:numPr>
          <w:ilvl w:val="0"/>
          <w:numId w:val="1038"/>
        </w:numPr>
        <w:pStyle w:val="Compact"/>
      </w:pPr>
      <w:r>
        <w:t xml:space="preserve">Primary audience categories simplify overlapping identities.</w:t>
      </w:r>
    </w:p>
    <w:p>
      <w:pPr>
        <w:numPr>
          <w:ilvl w:val="0"/>
          <w:numId w:val="1038"/>
        </w:numPr>
        <w:pStyle w:val="Compact"/>
      </w:pPr>
      <w:r>
        <w:t xml:space="preserve">Operational thresholds are configurable planning bands, not universal medical thresholds.</w:t>
      </w:r>
    </w:p>
    <w:p>
      <w:pPr>
        <w:numPr>
          <w:ilvl w:val="0"/>
          <w:numId w:val="1038"/>
        </w:numPr>
        <w:pStyle w:val="Compact"/>
      </w:pPr>
      <w:r>
        <w:t xml:space="preserve">Strategy templates are design aids, not validated campaigns.</w:t>
      </w:r>
    </w:p>
    <w:p>
      <w:pPr>
        <w:numPr>
          <w:ilvl w:val="0"/>
          <w:numId w:val="1038"/>
        </w:numPr>
        <w:pStyle w:val="Compact"/>
      </w:pPr>
      <w:r>
        <w:t xml:space="preserve">External validity requires benchmarking against real local datasets.</w:t>
      </w:r>
    </w:p>
    <w:bookmarkEnd w:id="111"/>
    <w:bookmarkStart w:id="120" w:name="Xd054953e2ef114f2da18ee424bbbdf231990864"/>
    <w:p>
      <w:pPr>
        <w:pStyle w:val="Heading1"/>
      </w:pPr>
      <w:r>
        <w:t xml:space="preserve">Appendix A. Known-answer and reference calculation vectors</w:t>
      </w:r>
    </w:p>
    <w:p>
      <w:pPr>
        <w:pStyle w:val="FirstParagraph"/>
      </w:pPr>
      <w:r>
        <w:t xml:space="preserve">The complete machine-readable set is</w:t>
      </w:r>
      <w:r>
        <w:t xml:space="preserve"> </w:t>
      </w:r>
      <w:r>
        <w:rPr>
          <w:rStyle w:val="VerbatimChar"/>
        </w:rPr>
        <w:t xml:space="preserve">IoTSyn-v4_4_0-reference-test-vectors.json</w:t>
      </w:r>
      <w:r>
        <w:t xml:space="preserve"> </w:t>
      </w:r>
      <w:r>
        <w:t xml:space="preserve">(master seed</w:t>
      </w:r>
      <w:r>
        <w:t xml:space="preserve"> </w:t>
      </w:r>
      <w:r>
        <w:t xml:space="preserve">“</w:t>
      </w:r>
      <w:r>
        <w:t xml:space="preserve">123456</w:t>
      </w:r>
      <w:r>
        <w:t xml:space="preserve">”</w:t>
      </w:r>
      <w:r>
        <w:t xml:space="preserve"> </w:t>
      </w:r>
      <w:r>
        <w:t xml:space="preserve">for all stream-based vectors). The tables below reproduce a subset; the JSON file is authoritative.</w:t>
      </w:r>
    </w:p>
    <w:bookmarkStart w:id="112" w:name="a.1-mt19937-seed-5489"/>
    <w:p>
      <w:pPr>
        <w:pStyle w:val="Heading2"/>
      </w:pPr>
      <w:r>
        <w:t xml:space="preserve">A.1 MT19937 seed 5489</w:t>
      </w:r>
    </w:p>
    <w:p>
      <w:pPr>
        <w:pStyle w:val="FirstParagraph"/>
      </w:pPr>
      <w:r>
        <w:t xml:space="preserve">The first ten unsigned 32-bit outputs MUST be:</w:t>
      </w:r>
    </w:p>
    <w:tbl>
      <w:tblPr>
        <w:tblStyle w:val="Table"/>
        <w:tblW w:type="auto" w:w="0"/>
        <w:tblLook w:firstRow="1" w:lastRow="0" w:firstColumn="0" w:lastColumn="0" w:noHBand="0" w:noVBand="0" w:val="0020"/>
        <w:jc w:val="start"/>
      </w:tblPr>
      <w:tblGrid>
        <w:gridCol w:w="2640"/>
        <w:gridCol w:w="2640"/>
        <w:gridCol w:w="2640"/>
      </w:tblGrid>
      <w:tr>
        <w:trPr>
          <w:tblHeader w:val="true"/>
        </w:trPr>
        <w:tc>
          <w:tcPr/>
          <w:p>
            <w:pPr>
              <w:pStyle w:val="Compact"/>
              <w:jc w:val="right"/>
            </w:pPr>
            <w:r>
              <w:t xml:space="preserve">Index</w:t>
            </w:r>
          </w:p>
        </w:tc>
        <w:tc>
          <w:tcPr/>
          <w:p>
            <w:pPr>
              <w:pStyle w:val="Compact"/>
              <w:jc w:val="right"/>
            </w:pPr>
            <w:r>
              <w:t xml:space="preserve">uint32</w:t>
            </w:r>
          </w:p>
        </w:tc>
        <w:tc>
          <w:tcPr/>
          <w:p>
            <w:pPr>
              <w:pStyle w:val="Compact"/>
              <w:jc w:val="right"/>
            </w:pPr>
            <w:r>
              <w:t xml:space="preserve">U_open</w:t>
            </w:r>
          </w:p>
        </w:tc>
      </w:tr>
      <w:tr>
        <w:tc>
          <w:tcPr/>
          <w:p>
            <w:pPr>
              <w:pStyle w:val="Compact"/>
              <w:jc w:val="right"/>
            </w:pPr>
            <w:r>
              <w:t xml:space="preserve">1</w:t>
            </w:r>
          </w:p>
        </w:tc>
        <w:tc>
          <w:tcPr/>
          <w:p>
            <w:pPr>
              <w:pStyle w:val="Compact"/>
              <w:jc w:val="right"/>
            </w:pPr>
            <w:r>
              <w:t xml:space="preserve">3499211612</w:t>
            </w:r>
          </w:p>
        </w:tc>
        <w:tc>
          <w:tcPr/>
          <w:p>
            <w:pPr>
              <w:pStyle w:val="Compact"/>
              <w:jc w:val="right"/>
            </w:pPr>
            <w:r>
              <w:t xml:space="preserve">0.81472369201947004</w:t>
            </w:r>
          </w:p>
        </w:tc>
      </w:tr>
      <w:tr>
        <w:tc>
          <w:tcPr/>
          <w:p>
            <w:pPr>
              <w:pStyle w:val="Compact"/>
              <w:jc w:val="right"/>
            </w:pPr>
            <w:r>
              <w:t xml:space="preserve">2</w:t>
            </w:r>
          </w:p>
        </w:tc>
        <w:tc>
          <w:tcPr/>
          <w:p>
            <w:pPr>
              <w:pStyle w:val="Compact"/>
              <w:jc w:val="right"/>
            </w:pPr>
            <w:r>
              <w:t xml:space="preserve">581869302</w:t>
            </w:r>
          </w:p>
        </w:tc>
        <w:tc>
          <w:tcPr/>
          <w:p>
            <w:pPr>
              <w:pStyle w:val="Compact"/>
              <w:jc w:val="right"/>
            </w:pPr>
            <w:r>
              <w:t xml:space="preserve">0.13547700422350317</w:t>
            </w:r>
          </w:p>
        </w:tc>
      </w:tr>
      <w:tr>
        <w:tc>
          <w:tcPr/>
          <w:p>
            <w:pPr>
              <w:pStyle w:val="Compact"/>
              <w:jc w:val="right"/>
            </w:pPr>
            <w:r>
              <w:t xml:space="preserve">3</w:t>
            </w:r>
          </w:p>
        </w:tc>
        <w:tc>
          <w:tcPr/>
          <w:p>
            <w:pPr>
              <w:pStyle w:val="Compact"/>
              <w:jc w:val="right"/>
            </w:pPr>
            <w:r>
              <w:t xml:space="preserve">3890346734</w:t>
            </w:r>
          </w:p>
        </w:tc>
        <w:tc>
          <w:tcPr/>
          <w:p>
            <w:pPr>
              <w:pStyle w:val="Compact"/>
              <w:jc w:val="right"/>
            </w:pPr>
            <w:r>
              <w:t xml:space="preserve">0.90579193423036486</w:t>
            </w:r>
          </w:p>
        </w:tc>
      </w:tr>
      <w:tr>
        <w:tc>
          <w:tcPr/>
          <w:p>
            <w:pPr>
              <w:pStyle w:val="Compact"/>
              <w:jc w:val="right"/>
            </w:pPr>
            <w:r>
              <w:t xml:space="preserve">4</w:t>
            </w:r>
          </w:p>
        </w:tc>
        <w:tc>
          <w:tcPr/>
          <w:p>
            <w:pPr>
              <w:pStyle w:val="Compact"/>
              <w:jc w:val="right"/>
            </w:pPr>
            <w:r>
              <w:t xml:space="preserve">3586334585</w:t>
            </w:r>
          </w:p>
        </w:tc>
        <w:tc>
          <w:tcPr/>
          <w:p>
            <w:pPr>
              <w:pStyle w:val="Compact"/>
              <w:jc w:val="right"/>
            </w:pPr>
            <w:r>
              <w:t xml:space="preserve">0.83500858990009874</w:t>
            </w:r>
          </w:p>
        </w:tc>
      </w:tr>
      <w:tr>
        <w:tc>
          <w:tcPr/>
          <w:p>
            <w:pPr>
              <w:pStyle w:val="Compact"/>
              <w:jc w:val="right"/>
            </w:pPr>
            <w:r>
              <w:t xml:space="preserve">5</w:t>
            </w:r>
          </w:p>
        </w:tc>
        <w:tc>
          <w:tcPr/>
          <w:p>
            <w:pPr>
              <w:pStyle w:val="Compact"/>
              <w:jc w:val="right"/>
            </w:pPr>
            <w:r>
              <w:t xml:space="preserve">545404204</w:t>
            </w:r>
          </w:p>
        </w:tc>
        <w:tc>
          <w:tcPr/>
          <w:p>
            <w:pPr>
              <w:pStyle w:val="Compact"/>
              <w:jc w:val="right"/>
            </w:pPr>
            <w:r>
              <w:t xml:space="preserve">0.12698681198526174</w:t>
            </w:r>
          </w:p>
        </w:tc>
      </w:tr>
      <w:tr>
        <w:tc>
          <w:tcPr/>
          <w:p>
            <w:pPr>
              <w:pStyle w:val="Compact"/>
              <w:jc w:val="right"/>
            </w:pPr>
            <w:r>
              <w:t xml:space="preserve">6</w:t>
            </w:r>
          </w:p>
        </w:tc>
        <w:tc>
          <w:tcPr/>
          <w:p>
            <w:pPr>
              <w:pStyle w:val="Compact"/>
              <w:jc w:val="right"/>
            </w:pPr>
            <w:r>
              <w:t xml:space="preserve">4161255391</w:t>
            </w:r>
          </w:p>
        </w:tc>
        <w:tc>
          <w:tcPr/>
          <w:p>
            <w:pPr>
              <w:pStyle w:val="Compact"/>
              <w:jc w:val="right"/>
            </w:pPr>
            <w:r>
              <w:t xml:space="preserve">0.96886777121108025</w:t>
            </w:r>
          </w:p>
        </w:tc>
      </w:tr>
      <w:tr>
        <w:tc>
          <w:tcPr/>
          <w:p>
            <w:pPr>
              <w:pStyle w:val="Compact"/>
              <w:jc w:val="right"/>
            </w:pPr>
            <w:r>
              <w:t xml:space="preserve">7</w:t>
            </w:r>
          </w:p>
        </w:tc>
        <w:tc>
          <w:tcPr/>
          <w:p>
            <w:pPr>
              <w:pStyle w:val="Compact"/>
              <w:jc w:val="right"/>
            </w:pPr>
            <w:r>
              <w:t xml:space="preserve">3922919429</w:t>
            </w:r>
          </w:p>
        </w:tc>
        <w:tc>
          <w:tcPr/>
          <w:p>
            <w:pPr>
              <w:pStyle w:val="Compact"/>
              <w:jc w:val="right"/>
            </w:pPr>
            <w:r>
              <w:t xml:space="preserve">0.91337585577275604</w:t>
            </w:r>
          </w:p>
        </w:tc>
      </w:tr>
      <w:tr>
        <w:tc>
          <w:tcPr/>
          <w:p>
            <w:pPr>
              <w:pStyle w:val="Compact"/>
              <w:jc w:val="right"/>
            </w:pPr>
            <w:r>
              <w:t xml:space="preserve">8</w:t>
            </w:r>
          </w:p>
        </w:tc>
        <w:tc>
          <w:tcPr/>
          <w:p>
            <w:pPr>
              <w:pStyle w:val="Compact"/>
              <w:jc w:val="right"/>
            </w:pPr>
            <w:r>
              <w:t xml:space="preserve">949333985</w:t>
            </w:r>
          </w:p>
        </w:tc>
        <w:tc>
          <w:tcPr/>
          <w:p>
            <w:pPr>
              <w:pStyle w:val="Compact"/>
              <w:jc w:val="right"/>
            </w:pPr>
            <w:r>
              <w:t xml:space="preserve">0.22103404288645834</w:t>
            </w:r>
          </w:p>
        </w:tc>
      </w:tr>
      <w:tr>
        <w:tc>
          <w:tcPr/>
          <w:p>
            <w:pPr>
              <w:pStyle w:val="Compact"/>
              <w:jc w:val="right"/>
            </w:pPr>
            <w:r>
              <w:t xml:space="preserve">9</w:t>
            </w:r>
          </w:p>
        </w:tc>
        <w:tc>
          <w:tcPr/>
          <w:p>
            <w:pPr>
              <w:pStyle w:val="Compact"/>
              <w:jc w:val="right"/>
            </w:pPr>
            <w:r>
              <w:t xml:space="preserve">2715962298</w:t>
            </w:r>
          </w:p>
        </w:tc>
        <w:tc>
          <w:tcPr/>
          <w:p>
            <w:pPr>
              <w:pStyle w:val="Compact"/>
              <w:jc w:val="right"/>
            </w:pPr>
            <w:r>
              <w:t xml:space="preserve">0.6323592500993982</w:t>
            </w:r>
          </w:p>
        </w:tc>
      </w:tr>
      <w:tr>
        <w:tc>
          <w:tcPr/>
          <w:p>
            <w:pPr>
              <w:pStyle w:val="Compact"/>
              <w:jc w:val="right"/>
            </w:pPr>
            <w:r>
              <w:t xml:space="preserve">10</w:t>
            </w:r>
          </w:p>
        </w:tc>
        <w:tc>
          <w:tcPr/>
          <w:p>
            <w:pPr>
              <w:pStyle w:val="Compact"/>
              <w:jc w:val="right"/>
            </w:pPr>
            <w:r>
              <w:t xml:space="preserve">1323567403</w:t>
            </w:r>
          </w:p>
        </w:tc>
        <w:tc>
          <w:tcPr/>
          <w:p>
            <w:pPr>
              <w:pStyle w:val="Compact"/>
              <w:jc w:val="right"/>
            </w:pPr>
            <w:r>
              <w:t xml:space="preserve">0.30816705047618598</w:t>
            </w:r>
          </w:p>
        </w:tc>
      </w:tr>
    </w:tbl>
    <w:p>
      <w:pPr>
        <w:pStyle w:val="BodyText"/>
      </w:pPr>
      <w:r>
        <w:t xml:space="preserve">Using the first two open uniforms with Box-Muller gives:</w:t>
      </w:r>
    </w:p>
    <w:p>
      <w:pPr>
        <w:pStyle w:val="BodyText"/>
      </w:pPr>
      <m:oMathPara>
        <m:oMathParaPr>
          <m:jc m:val="center"/>
        </m:oMathParaPr>
        <m:oMath>
          <m:sSub>
            <m:e>
              <m:r>
                <m:t>Z</m:t>
              </m:r>
            </m:e>
            <m:sub>
              <m:r>
                <m:t>0</m:t>
              </m:r>
            </m:sub>
          </m:sSub>
          <m:r>
            <m:rPr>
              <m:sty m:val="p"/>
            </m:rPr>
            <m:t>=</m:t>
          </m:r>
          <m:r>
            <m:t>0.421908272819606</m:t>
          </m:r>
          <m:r>
            <m:rPr>
              <m:sty m:val="p"/>
            </m:rPr>
            <m:t>,</m:t>
          </m:r>
          <m:r>
            <m:t>  </m:t>
          </m:r>
          <m:sSub>
            <m:e>
              <m:r>
                <m:t>Z</m:t>
              </m:r>
            </m:e>
            <m:sub>
              <m:r>
                <m:t>1</m:t>
              </m:r>
            </m:sub>
          </m:sSub>
          <m:r>
            <m:rPr>
              <m:sty m:val="p"/>
            </m:rPr>
            <m:t>=</m:t>
          </m:r>
          <m:r>
            <m:t>0.481462264532713</m:t>
          </m:r>
          <m:r>
            <m:rPr>
              <m:sty m:val="p"/>
            </m:rPr>
            <m:t>.</m:t>
          </m:r>
        </m:oMath>
      </m:oMathPara>
    </w:p>
    <w:bookmarkEnd w:id="112"/>
    <w:bookmarkStart w:id="113" w:name="a.2-pollutant-one-step-calculation"/>
    <w:p>
      <w:pPr>
        <w:pStyle w:val="Heading2"/>
      </w:pPr>
      <w:r>
        <w:t xml:space="preserve">A.2 Pollutant one-step calculation</w:t>
      </w:r>
    </w:p>
    <w:p>
      <w:pPr>
        <w:pStyle w:val="FirstParagraph"/>
      </w:pPr>
      <w:r>
        <w:t xml:space="preserve">Inputs:</w:t>
      </w:r>
    </w:p>
    <w:p>
      <w:pPr>
        <w:pStyle w:val="SourceCode"/>
      </w:pPr>
      <w:r>
        <w:rPr>
          <w:rStyle w:val="VerbatimChar"/>
        </w:rPr>
        <w:t xml:space="preserve">C0 = 40 microgram/m3</w:t>
      </w:r>
      <w:r>
        <w:br/>
      </w:r>
      <w:r>
        <w:rPr>
          <w:rStyle w:val="VerbatimChar"/>
        </w:rPr>
        <w:t xml:space="preserve">E = 120000 microgram/s</w:t>
      </w:r>
      <w:r>
        <w:br/>
      </w:r>
      <w:r>
        <w:rPr>
          <w:rStyle w:val="VerbatimChar"/>
        </w:rPr>
        <w:t xml:space="preserve">H = 20 m</w:t>
      </w:r>
      <w:r>
        <w:br/>
      </w:r>
      <w:r>
        <w:rPr>
          <w:rStyle w:val="VerbatimChar"/>
        </w:rPr>
        <w:t xml:space="preserve">A = 10000 m2</w:t>
      </w:r>
      <w:r>
        <w:br/>
      </w:r>
      <w:r>
        <w:rPr>
          <w:rStyle w:val="VerbatimChar"/>
        </w:rPr>
        <w:t xml:space="preserve">Lx = 200 m</w:t>
      </w:r>
      <w:r>
        <w:br/>
      </w:r>
      <w:r>
        <w:rPr>
          <w:rStyle w:val="VerbatimChar"/>
        </w:rPr>
        <w:t xml:space="preserve">u_eff = 1.2 m/s</w:t>
      </w:r>
      <w:r>
        <w:br/>
      </w:r>
      <w:r>
        <w:rPr>
          <w:rStyle w:val="VerbatimChar"/>
        </w:rPr>
        <w:t xml:space="preserve">k_dep = 0.0001 s-1</w:t>
      </w:r>
      <w:r>
        <w:br/>
      </w:r>
      <w:r>
        <w:rPr>
          <w:rStyle w:val="VerbatimChar"/>
        </w:rPr>
        <w:t xml:space="preserve">k_chem = 0.00005 s-1</w:t>
      </w:r>
      <w:r>
        <w:br/>
      </w:r>
      <w:r>
        <w:rPr>
          <w:rStyle w:val="VerbatimChar"/>
        </w:rPr>
        <w:t xml:space="preserve">C_bg = 12 microgram/m3</w:t>
      </w:r>
      <w:r>
        <w:br/>
      </w:r>
      <w:r>
        <w:rPr>
          <w:rStyle w:val="VerbatimChar"/>
        </w:rPr>
        <w:t xml:space="preserve">dt = 900 s</w:t>
      </w:r>
    </w:p>
    <w:p>
      <w:pPr>
        <w:pStyle w:val="FirstParagraph"/>
      </w:pPr>
      <w:r>
        <w:t xml:space="preserve">Expected values:</w:t>
      </w:r>
    </w:p>
    <w:p>
      <w:pPr>
        <w:pStyle w:val="SourceCode"/>
      </w:pPr>
      <w:r>
        <w:rPr>
          <w:rStyle w:val="VerbatimChar"/>
        </w:rPr>
        <w:t xml:space="preserve">V = 200000 m3</w:t>
      </w:r>
      <w:r>
        <w:br/>
      </w:r>
      <w:r>
        <w:rPr>
          <w:rStyle w:val="VerbatimChar"/>
        </w:rPr>
        <w:t xml:space="preserve">k_vent = 0.006 s-1</w:t>
      </w:r>
      <w:r>
        <w:br/>
      </w:r>
      <w:r>
        <w:rPr>
          <w:rStyle w:val="VerbatimChar"/>
        </w:rPr>
        <w:t xml:space="preserve">k_total = 0.00615 s-1</w:t>
      </w:r>
      <w:r>
        <w:br/>
      </w:r>
      <w:r>
        <w:rPr>
          <w:rStyle w:val="VerbatimChar"/>
        </w:rPr>
        <w:t xml:space="preserve">C_infinity = 109.268292682926813 microgram/m3</w:t>
      </w:r>
      <w:r>
        <w:br/>
      </w:r>
      <w:r>
        <w:rPr>
          <w:rStyle w:val="VerbatimChar"/>
        </w:rPr>
        <w:t xml:space="preserve">C1 = 108.994945548141331 microgram/m3</w:t>
      </w:r>
    </w:p>
    <w:bookmarkEnd w:id="113"/>
    <w:bookmarkStart w:id="114" w:name="a.3-risk-example"/>
    <w:p>
      <w:pPr>
        <w:pStyle w:val="Heading2"/>
      </w:pPr>
      <w:r>
        <w:t xml:space="preserve">A.3 Risk example</w:t>
      </w:r>
    </w:p>
    <w:p>
      <w:pPr>
        <w:pStyle w:val="FirstParagraph"/>
      </w:pPr>
      <w:r>
        <w:t xml:space="preserve">Input vector:</w:t>
      </w:r>
    </w:p>
    <w:p>
      <w:pPr>
        <w:pStyle w:val="SourceCode"/>
      </w:pPr>
      <w:r>
        <w:rPr>
          <w:rStyle w:val="FunctionTok"/>
        </w:rPr>
        <w:t xml:space="preserve">{</w:t>
      </w:r>
      <w:r>
        <w:rPr>
          <w:rStyle w:val="DataTypeTok"/>
        </w:rPr>
        <w:t xml:space="preserve">"thermal"</w:t>
      </w:r>
      <w:r>
        <w:rPr>
          <w:rStyle w:val="FunctionTok"/>
        </w:rPr>
        <w:t xml:space="preserve">:</w:t>
      </w:r>
      <w:r>
        <w:rPr>
          <w:rStyle w:val="DecValTok"/>
        </w:rPr>
        <w:t xml:space="preserve">3</w:t>
      </w:r>
      <w:r>
        <w:rPr>
          <w:rStyle w:val="FunctionTok"/>
        </w:rPr>
        <w:t xml:space="preserve">,</w:t>
      </w:r>
      <w:r>
        <w:rPr>
          <w:rStyle w:val="DataTypeTok"/>
        </w:rPr>
        <w:t xml:space="preserve">"air_quality"</w:t>
      </w:r>
      <w:r>
        <w:rPr>
          <w:rStyle w:val="FunctionTok"/>
        </w:rPr>
        <w:t xml:space="preserve">:</w:t>
      </w:r>
      <w:r>
        <w:rPr>
          <w:rStyle w:val="DecValTok"/>
        </w:rPr>
        <w:t xml:space="preserve">2</w:t>
      </w:r>
      <w:r>
        <w:rPr>
          <w:rStyle w:val="FunctionTok"/>
        </w:rPr>
        <w:t xml:space="preserve">,</w:t>
      </w:r>
      <w:r>
        <w:rPr>
          <w:rStyle w:val="DataTypeTok"/>
        </w:rPr>
        <w:t xml:space="preserve">"noise"</w:t>
      </w:r>
      <w:r>
        <w:rPr>
          <w:rStyle w:val="FunctionTok"/>
        </w:rPr>
        <w:t xml:space="preserve">:</w:t>
      </w:r>
      <w:r>
        <w:rPr>
          <w:rStyle w:val="DecValTok"/>
        </w:rPr>
        <w:t xml:space="preserve">0</w:t>
      </w:r>
      <w:r>
        <w:rPr>
          <w:rStyle w:val="FunctionTok"/>
        </w:rPr>
        <w:t xml:space="preserve">,</w:t>
      </w:r>
      <w:r>
        <w:rPr>
          <w:rStyle w:val="DataTypeTok"/>
        </w:rPr>
        <w:t xml:space="preserve">"crowding"</w:t>
      </w:r>
      <w:r>
        <w:rPr>
          <w:rStyle w:val="FunctionTok"/>
        </w:rPr>
        <w:t xml:space="preserve">:</w:t>
      </w:r>
      <w:r>
        <w:rPr>
          <w:rStyle w:val="DecValTok"/>
        </w:rPr>
        <w:t xml:space="preserve">2</w:t>
      </w:r>
      <w:r>
        <w:rPr>
          <w:rStyle w:val="FunctionTok"/>
        </w:rPr>
        <w:t xml:space="preserve">}</w:t>
      </w:r>
    </w:p>
    <w:p>
      <w:pPr>
        <w:pStyle w:val="FirstParagraph"/>
      </w:pPr>
      <w:r>
        <w:t xml:space="preserve">Expected result under precedence</w:t>
      </w:r>
      <w:r>
        <w:t xml:space="preserve"> </w:t>
      </w:r>
      <w:r>
        <w:rPr>
          <w:rStyle w:val="VerbatimChar"/>
        </w:rPr>
        <w:t xml:space="preserve">thermal &gt; air_quality &gt; crowding &gt; noise</w:t>
      </w:r>
      <w:r>
        <w:t xml:space="preserve">:</w:t>
      </w:r>
    </w:p>
    <w:p>
      <w:pPr>
        <w:pStyle w:val="SourceCode"/>
      </w:pPr>
      <w:r>
        <w:rPr>
          <w:rStyle w:val="FunctionTok"/>
        </w:rPr>
        <w:t xml:space="preserve">{</w:t>
      </w:r>
      <w:r>
        <w:br/>
      </w:r>
      <w:r>
        <w:rPr>
          <w:rStyle w:val="NormalTok"/>
        </w:rPr>
        <w:t xml:space="preserve">  </w:t>
      </w:r>
      <w:r>
        <w:rPr>
          <w:rStyle w:val="DataTypeTok"/>
        </w:rPr>
        <w:t xml:space="preserve">"overall_action_level"</w:t>
      </w:r>
      <w:r>
        <w:rPr>
          <w:rStyle w:val="FunctionTok"/>
        </w:rPr>
        <w:t xml:space="preserve">:</w:t>
      </w:r>
      <w:r>
        <w:rPr>
          <w:rStyle w:val="NormalTok"/>
        </w:rPr>
        <w:t xml:space="preserve"> </w:t>
      </w:r>
      <w:r>
        <w:rPr>
          <w:rStyle w:val="StringTok"/>
        </w:rPr>
        <w:t xml:space="preserve">"severe"</w:t>
      </w:r>
      <w:r>
        <w:rPr>
          <w:rStyle w:val="FunctionTok"/>
        </w:rPr>
        <w:t xml:space="preserve">,</w:t>
      </w:r>
      <w:r>
        <w:br/>
      </w:r>
      <w:r>
        <w:rPr>
          <w:rStyle w:val="NormalTok"/>
        </w:rPr>
        <w:t xml:space="preserve">  </w:t>
      </w:r>
      <w:r>
        <w:rPr>
          <w:rStyle w:val="DataTypeTok"/>
        </w:rPr>
        <w:t xml:space="preserve">"dominant_issue"</w:t>
      </w:r>
      <w:r>
        <w:rPr>
          <w:rStyle w:val="FunctionTok"/>
        </w:rPr>
        <w:t xml:space="preserve">:</w:t>
      </w:r>
      <w:r>
        <w:rPr>
          <w:rStyle w:val="NormalTok"/>
        </w:rPr>
        <w:t xml:space="preserve"> </w:t>
      </w:r>
      <w:r>
        <w:rPr>
          <w:rStyle w:val="StringTok"/>
        </w:rPr>
        <w:t xml:space="preserve">"thermal"</w:t>
      </w:r>
      <w:r>
        <w:rPr>
          <w:rStyle w:val="FunctionTok"/>
        </w:rPr>
        <w:t xml:space="preserve">,</w:t>
      </w:r>
      <w:r>
        <w:br/>
      </w:r>
      <w:r>
        <w:rPr>
          <w:rStyle w:val="NormalTok"/>
        </w:rPr>
        <w:t xml:space="preserve">  </w:t>
      </w:r>
      <w:r>
        <w:rPr>
          <w:rStyle w:val="DataTypeTok"/>
        </w:rPr>
        <w:t xml:space="preserve">"co_dominant_issues"</w:t>
      </w:r>
      <w:r>
        <w:rPr>
          <w:rStyle w:val="FunctionTok"/>
        </w:rPr>
        <w:t xml:space="preserve">:</w:t>
      </w:r>
      <w:r>
        <w:rPr>
          <w:rStyle w:val="NormalTok"/>
        </w:rPr>
        <w:t xml:space="preserve"> </w:t>
      </w:r>
      <w:r>
        <w:rPr>
          <w:rStyle w:val="OtherTok"/>
        </w:rPr>
        <w:t xml:space="preserve">[</w:t>
      </w:r>
      <w:r>
        <w:rPr>
          <w:rStyle w:val="StringTok"/>
        </w:rPr>
        <w:t xml:space="preserve">"thermal"</w:t>
      </w:r>
      <w:r>
        <w:rPr>
          <w:rStyle w:val="OtherTok"/>
        </w:rPr>
        <w:t xml:space="preserve">]</w:t>
      </w:r>
      <w:r>
        <w:rPr>
          <w:rStyle w:val="FunctionTok"/>
        </w:rPr>
        <w:t xml:space="preserve">,</w:t>
      </w:r>
      <w:r>
        <w:br/>
      </w:r>
      <w:r>
        <w:rPr>
          <w:rStyle w:val="NormalTok"/>
        </w:rPr>
        <w:t xml:space="preserve">  </w:t>
      </w:r>
      <w:r>
        <w:rPr>
          <w:rStyle w:val="DataTypeTok"/>
        </w:rPr>
        <w:t xml:space="preserve">"elevated_issues"</w:t>
      </w:r>
      <w:r>
        <w:rPr>
          <w:rStyle w:val="FunctionTok"/>
        </w:rPr>
        <w:t xml:space="preserve">:</w:t>
      </w:r>
      <w:r>
        <w:rPr>
          <w:rStyle w:val="NormalTok"/>
        </w:rPr>
        <w:t xml:space="preserve"> </w:t>
      </w:r>
      <w:r>
        <w:rPr>
          <w:rStyle w:val="OtherTok"/>
        </w:rPr>
        <w:t xml:space="preserve">[</w:t>
      </w:r>
      <w:r>
        <w:rPr>
          <w:rStyle w:val="StringTok"/>
        </w:rPr>
        <w:t xml:space="preserve">"thermal"</w:t>
      </w:r>
      <w:r>
        <w:rPr>
          <w:rStyle w:val="OtherTok"/>
        </w:rPr>
        <w:t xml:space="preserve">,</w:t>
      </w:r>
      <w:r>
        <w:rPr>
          <w:rStyle w:val="NormalTok"/>
        </w:rPr>
        <w:t xml:space="preserve"> </w:t>
      </w:r>
      <w:r>
        <w:rPr>
          <w:rStyle w:val="StringTok"/>
        </w:rPr>
        <w:t xml:space="preserve">"air_quality"</w:t>
      </w:r>
      <w:r>
        <w:rPr>
          <w:rStyle w:val="OtherTok"/>
        </w:rPr>
        <w:t xml:space="preserve">,</w:t>
      </w:r>
      <w:r>
        <w:rPr>
          <w:rStyle w:val="NormalTok"/>
        </w:rPr>
        <w:t xml:space="preserve"> </w:t>
      </w:r>
      <w:r>
        <w:rPr>
          <w:rStyle w:val="StringTok"/>
        </w:rPr>
        <w:t xml:space="preserve">"crowding"</w:t>
      </w:r>
      <w:r>
        <w:rPr>
          <w:rStyle w:val="OtherTok"/>
        </w:rPr>
        <w:t xml:space="preserve">]</w:t>
      </w:r>
      <w:r>
        <w:rPr>
          <w:rStyle w:val="FunctionTok"/>
        </w:rPr>
        <w:t xml:space="preserve">,</w:t>
      </w:r>
      <w:r>
        <w:br/>
      </w:r>
      <w:r>
        <w:rPr>
          <w:rStyle w:val="NormalTok"/>
        </w:rPr>
        <w:t xml:space="preserve">  </w:t>
      </w:r>
      <w:r>
        <w:rPr>
          <w:rStyle w:val="DataTypeTok"/>
        </w:rPr>
        <w:t xml:space="preserve">"elevated_hazard_count"</w:t>
      </w:r>
      <w:r>
        <w:rPr>
          <w:rStyle w:val="FunctionTok"/>
        </w:rPr>
        <w:t xml:space="preserve">:</w:t>
      </w:r>
      <w:r>
        <w:rPr>
          <w:rStyle w:val="NormalTok"/>
        </w:rPr>
        <w:t xml:space="preserve"> </w:t>
      </w:r>
      <w:r>
        <w:rPr>
          <w:rStyle w:val="DecValTok"/>
        </w:rPr>
        <w:t xml:space="preserve">3</w:t>
      </w:r>
      <w:r>
        <w:rPr>
          <w:rStyle w:val="FunctionTok"/>
        </w:rPr>
        <w:t xml:space="preserve">,</w:t>
      </w:r>
      <w:r>
        <w:br/>
      </w:r>
      <w:r>
        <w:rPr>
          <w:rStyle w:val="NormalTok"/>
        </w:rPr>
        <w:t xml:space="preserve">  </w:t>
      </w:r>
      <w:r>
        <w:rPr>
          <w:rStyle w:val="DataTypeTok"/>
        </w:rPr>
        <w:t xml:space="preserve">"compound_risk_flag"</w:t>
      </w:r>
      <w:r>
        <w:rPr>
          <w:rStyle w:val="FunctionTok"/>
        </w:rPr>
        <w:t xml:space="preserve">:</w:t>
      </w:r>
      <w:r>
        <w:rPr>
          <w:rStyle w:val="NormalTok"/>
        </w:rPr>
        <w:t xml:space="preserve"> </w:t>
      </w:r>
      <w:r>
        <w:rPr>
          <w:rStyle w:val="KeywordTok"/>
        </w:rPr>
        <w:t xml:space="preserve">true</w:t>
      </w:r>
      <w:r>
        <w:rPr>
          <w:rStyle w:val="FunctionTok"/>
        </w:rPr>
        <w:t xml:space="preserve">,</w:t>
      </w:r>
      <w:r>
        <w:br/>
      </w:r>
      <w:r>
        <w:rPr>
          <w:rStyle w:val="NormalTok"/>
        </w:rPr>
        <w:t xml:space="preserve">  </w:t>
      </w:r>
      <w:r>
        <w:rPr>
          <w:rStyle w:val="DataTypeTok"/>
        </w:rPr>
        <w:t xml:space="preserve">"risk_completeness_fraction"</w:t>
      </w:r>
      <w:r>
        <w:rPr>
          <w:rStyle w:val="FunctionTok"/>
        </w:rPr>
        <w:t xml:space="preserve">:</w:t>
      </w:r>
      <w:r>
        <w:rPr>
          <w:rStyle w:val="NormalTok"/>
        </w:rPr>
        <w:t xml:space="preserve"> </w:t>
      </w:r>
      <w:r>
        <w:rPr>
          <w:rStyle w:val="FloatTok"/>
        </w:rPr>
        <w:t xml:space="preserve">1.0</w:t>
      </w:r>
      <w:r>
        <w:rPr>
          <w:rStyle w:val="FunctionTok"/>
        </w:rPr>
        <w:t xml:space="preserve">,</w:t>
      </w:r>
      <w:r>
        <w:br/>
      </w:r>
      <w:r>
        <w:rPr>
          <w:rStyle w:val="NormalTok"/>
        </w:rPr>
        <w:t xml:space="preserve">  </w:t>
      </w:r>
      <w:r>
        <w:rPr>
          <w:rStyle w:val="DataTypeTok"/>
        </w:rPr>
        <w:t xml:space="preserve">"overall_action_level_provisional"</w:t>
      </w:r>
      <w:r>
        <w:rPr>
          <w:rStyle w:val="FunctionTok"/>
        </w:rPr>
        <w:t xml:space="preserve">:</w:t>
      </w:r>
      <w:r>
        <w:rPr>
          <w:rStyle w:val="NormalTok"/>
        </w:rPr>
        <w:t xml:space="preserve"> </w:t>
      </w:r>
      <w:r>
        <w:rPr>
          <w:rStyle w:val="KeywordTok"/>
        </w:rPr>
        <w:t xml:space="preserve">false</w:t>
      </w:r>
      <w:r>
        <w:br/>
      </w:r>
      <w:r>
        <w:rPr>
          <w:rStyle w:val="FunctionTok"/>
        </w:rPr>
        <w:t xml:space="preserve">}</w:t>
      </w:r>
    </w:p>
    <w:bookmarkEnd w:id="114"/>
    <w:bookmarkStart w:id="115" w:name="Xe91d7ffa278aada754458a0c058b3dd83919e44"/>
    <w:p>
      <w:pPr>
        <w:pStyle w:val="Heading2"/>
      </w:pPr>
      <w:r>
        <w:t xml:space="preserve">A.4 Substream seed derivation (master_seed</w:t>
      </w:r>
      <w:r>
        <w:t xml:space="preserve"> </w:t>
      </w:r>
      <w:r>
        <w:t xml:space="preserve">“</w:t>
      </w:r>
      <w:r>
        <w:t xml:space="preserve">123456</w:t>
      </w:r>
      <w:r>
        <w:t xml:space="preserve">”</w:t>
      </w:r>
      <w:r>
        <w:t xml:space="preserve">)</w:t>
      </w:r>
    </w:p>
    <w:p>
      <w:pPr>
        <w:pStyle w:val="FirstParagraph"/>
      </w:pPr>
      <w:r>
        <w:t xml:space="preserve">Selected derived 32-bit seeds (salt</w:t>
      </w:r>
      <w:r>
        <w:t xml:space="preserve"> </w:t>
      </w:r>
      <w:r>
        <w:t xml:space="preserve">“</w:t>
      </w:r>
      <w:r>
        <w:t xml:space="preserve">IoTSyn/v4.3.0</w:t>
      </w:r>
      <w:r>
        <w:t xml:space="preserve">”</w:t>
      </w:r>
      <w:r>
        <w:t xml:space="preserve">, Section 5.1):</w:t>
      </w:r>
    </w:p>
    <w:tbl>
      <w:tblPr>
        <w:tblStyle w:val="Table"/>
        <w:tblW w:type="auto" w:w="0"/>
        <w:tblLook w:firstRow="1" w:lastRow="0" w:firstColumn="0" w:lastColumn="0" w:noHBand="0" w:noVBand="0" w:val="0020"/>
        <w:jc w:val="start"/>
      </w:tblPr>
      <w:tblGrid>
        <w:gridCol w:w="3960"/>
        <w:gridCol w:w="3960"/>
      </w:tblGrid>
      <w:tr>
        <w:trPr>
          <w:tblHeader w:val="true"/>
        </w:trPr>
        <w:tc>
          <w:tcPr/>
          <w:p>
            <w:pPr>
              <w:pStyle w:val="Compact"/>
              <w:jc w:val="left"/>
            </w:pPr>
            <w:r>
              <w:t xml:space="preserve">Stream</w:t>
            </w:r>
          </w:p>
        </w:tc>
        <w:tc>
          <w:tcPr/>
          <w:p>
            <w:pPr>
              <w:pStyle w:val="Compact"/>
              <w:jc w:val="right"/>
            </w:pPr>
            <w:r>
              <w:t xml:space="preserve">seed32</w:t>
            </w:r>
          </w:p>
        </w:tc>
      </w:tr>
      <w:tr>
        <w:tc>
          <w:tcPr/>
          <w:p>
            <w:pPr>
              <w:pStyle w:val="Compact"/>
              <w:jc w:val="left"/>
            </w:pPr>
            <w:r>
              <w:t xml:space="preserve">meteorology.temperature</w:t>
            </w:r>
          </w:p>
        </w:tc>
        <w:tc>
          <w:tcPr/>
          <w:p>
            <w:pPr>
              <w:pStyle w:val="Compact"/>
              <w:jc w:val="right"/>
            </w:pPr>
            <w:r>
              <w:t xml:space="preserve">892704917</w:t>
            </w:r>
          </w:p>
        </w:tc>
      </w:tr>
      <w:tr>
        <w:tc>
          <w:tcPr/>
          <w:p>
            <w:pPr>
              <w:pStyle w:val="Compact"/>
              <w:jc w:val="left"/>
            </w:pPr>
            <w:r>
              <w:t xml:space="preserve">meteorology.wind</w:t>
            </w:r>
          </w:p>
        </w:tc>
        <w:tc>
          <w:tcPr/>
          <w:p>
            <w:pPr>
              <w:pStyle w:val="Compact"/>
              <w:jc w:val="right"/>
            </w:pPr>
            <w:r>
              <w:t xml:space="preserve">3827278554</w:t>
            </w:r>
          </w:p>
        </w:tc>
      </w:tr>
      <w:tr>
        <w:tc>
          <w:tcPr/>
          <w:p>
            <w:pPr>
              <w:pStyle w:val="Compact"/>
              <w:jc w:val="left"/>
            </w:pPr>
            <w:r>
              <w:t xml:space="preserve">crowd.state</w:t>
            </w:r>
          </w:p>
        </w:tc>
        <w:tc>
          <w:tcPr/>
          <w:p>
            <w:pPr>
              <w:pStyle w:val="Compact"/>
              <w:jc w:val="right"/>
            </w:pPr>
            <w:r>
              <w:t xml:space="preserve">3633539532</w:t>
            </w:r>
          </w:p>
        </w:tc>
      </w:tr>
      <w:tr>
        <w:tc>
          <w:tcPr/>
          <w:p>
            <w:pPr>
              <w:pStyle w:val="Compact"/>
              <w:jc w:val="left"/>
            </w:pPr>
            <w:r>
              <w:t xml:space="preserve">crowd.arrivals</w:t>
            </w:r>
          </w:p>
        </w:tc>
        <w:tc>
          <w:tcPr/>
          <w:p>
            <w:pPr>
              <w:pStyle w:val="Compact"/>
              <w:jc w:val="right"/>
            </w:pPr>
            <w:r>
              <w:t xml:space="preserve">655598784</w:t>
            </w:r>
          </w:p>
        </w:tc>
      </w:tr>
      <w:tr>
        <w:tc>
          <w:tcPr/>
          <w:p>
            <w:pPr>
              <w:pStyle w:val="Compact"/>
              <w:jc w:val="left"/>
            </w:pPr>
            <w:r>
              <w:t xml:space="preserve">crowd.dwell</w:t>
            </w:r>
          </w:p>
        </w:tc>
        <w:tc>
          <w:tcPr/>
          <w:p>
            <w:pPr>
              <w:pStyle w:val="Compact"/>
              <w:jc w:val="right"/>
            </w:pPr>
            <w:r>
              <w:t xml:space="preserve">1289133551</w:t>
            </w:r>
          </w:p>
        </w:tc>
      </w:tr>
      <w:tr>
        <w:tc>
          <w:tcPr/>
          <w:p>
            <w:pPr>
              <w:pStyle w:val="Compact"/>
              <w:jc w:val="left"/>
            </w:pPr>
            <w:r>
              <w:t xml:space="preserve">pollutant.pm25.source</w:t>
            </w:r>
          </w:p>
        </w:tc>
        <w:tc>
          <w:tcPr/>
          <w:p>
            <w:pPr>
              <w:pStyle w:val="Compact"/>
              <w:jc w:val="right"/>
            </w:pPr>
            <w:r>
              <w:t xml:space="preserve">3576019562</w:t>
            </w:r>
          </w:p>
        </w:tc>
      </w:tr>
      <w:tr>
        <w:tc>
          <w:tcPr/>
          <w:p>
            <w:pPr>
              <w:pStyle w:val="Compact"/>
              <w:jc w:val="left"/>
            </w:pPr>
            <w:r>
              <w:t xml:space="preserve">acoustics.residual</w:t>
            </w:r>
          </w:p>
        </w:tc>
        <w:tc>
          <w:tcPr/>
          <w:p>
            <w:pPr>
              <w:pStyle w:val="Compact"/>
              <w:jc w:val="right"/>
            </w:pPr>
            <w:r>
              <w:t xml:space="preserve">22360979</w:t>
            </w:r>
          </w:p>
        </w:tc>
      </w:tr>
    </w:tbl>
    <w:p>
      <w:pPr>
        <w:pStyle w:val="BodyText"/>
      </w:pPr>
      <w:r>
        <w:t xml:space="preserve">All sixteen Core streams are enumerated in the JSON file.</w:t>
      </w:r>
    </w:p>
    <w:bookmarkEnd w:id="115"/>
    <w:bookmarkStart w:id="116" w:name="a.5-distribution-and-nhpp-vectors"/>
    <w:p>
      <w:pPr>
        <w:pStyle w:val="Heading2"/>
      </w:pPr>
      <w:r>
        <w:t xml:space="preserve">A.5 Distribution and NHPP vectors</w:t>
      </w:r>
    </w:p>
    <w:p>
      <w:pPr>
        <w:pStyle w:val="FirstParagraph"/>
      </w:pPr>
      <w:r>
        <w:t xml:space="preserve">The JSON file pins, per dedicated KAT stream: the first draws of the Normal (cache order visible across six values), Exponential, Weibull, LogNormal, Knuth Poisson (lambda 3.5), PTRS Poisson (lambda 100), Marsaglia-Tsang Gamma (alpha 2.5 and the alpha 0.7 boost path), Beta(2, 8), the categorical index sequence, phi_normal_cdf_v1 points with tolerance 5e-14, and one complete offered-arrival interval on</w:t>
      </w:r>
      <w:r>
        <w:t xml:space="preserve"> </w:t>
      </w:r>
      <w:r>
        <w:rPr>
          <w:rStyle w:val="VerbatimChar"/>
        </w:rPr>
        <w:t xml:space="preserve">crowd.arrivals</w:t>
      </w:r>
      <w:r>
        <w:t xml:space="preserve"> </w:t>
      </w:r>
      <w:r>
        <w:t xml:space="preserve">(lambda 120 per hour, 900 s step: expected count 22, first sorted offsets listed).</w:t>
      </w:r>
    </w:p>
    <w:bookmarkEnd w:id="116"/>
    <w:bookmarkStart w:id="117" w:name="X07b123591d8edac049635c68a27d2f193952b7e"/>
    <w:p>
      <w:pPr>
        <w:pStyle w:val="Heading2"/>
      </w:pPr>
      <w:r>
        <w:t xml:space="preserve">A.6 Solar vectors (iotsyn_solar_v1, Algiers 36.75 N, 3.06 E)</w:t>
      </w:r>
    </w:p>
    <w:p>
      <w:pPr>
        <w:pStyle w:val="FirstParagraph"/>
      </w:pPr>
      <w:r>
        <w:t xml:space="preserve">At 2026-07-14T12:00:00+01:00: declination 21.635022 deg, equation of time -5.907261 min, elevation 70.922460 deg, azimuth 138.707684 deg, sunset 1147.2798 minutes after 00:00 UTC. Two further instants are in the JSON file.</w:t>
      </w:r>
    </w:p>
    <w:bookmarkEnd w:id="117"/>
    <w:bookmarkStart w:id="118" w:name="X4ffaa054e9fa6607c50c58230769f64bab4791d"/>
    <w:p>
      <w:pPr>
        <w:pStyle w:val="Heading2"/>
      </w:pPr>
      <w:r>
        <w:t xml:space="preserve">A.7 Ventilation monotonicity, both regimes</w:t>
      </w:r>
    </w:p>
    <w:p>
      <w:pPr>
        <w:pStyle w:val="FirstParagraph"/>
      </w:pPr>
      <w:r>
        <w:t xml:space="preserve">Shared inputs: V 200000 m3, C_bg 12, k_dep 1e-4, k_chem 5e-5 (so C_bg times total loss is 0.0018).</w:t>
      </w:r>
    </w:p>
    <w:tbl>
      <w:tblPr>
        <w:tblStyle w:val="Table"/>
        <w:tblW w:type="pct" w:w="5000"/>
        <w:tblLook w:firstRow="1" w:lastRow="0" w:firstColumn="0" w:lastColumn="0" w:noHBand="0" w:noVBand="0" w:val="0020"/>
        <w:jc w:val="start"/>
      </w:tblPr>
      <w:tblGrid>
        <w:gridCol w:w="1320"/>
        <w:gridCol w:w="1760"/>
        <w:gridCol w:w="1760"/>
        <w:gridCol w:w="1760"/>
        <w:gridCol w:w="1320"/>
      </w:tblGrid>
      <w:tr>
        <w:trPr>
          <w:tblHeader w:val="true"/>
        </w:trPr>
        <w:tc>
          <w:tcPr/>
          <w:p>
            <w:pPr>
              <w:pStyle w:val="Compact"/>
              <w:jc w:val="left"/>
            </w:pPr>
            <w:r>
              <w:t xml:space="preserve">Regime</w:t>
            </w:r>
          </w:p>
        </w:tc>
        <w:tc>
          <w:tcPr/>
          <w:p>
            <w:pPr>
              <w:pStyle w:val="Compact"/>
              <w:jc w:val="right"/>
            </w:pPr>
            <w:r>
              <w:t xml:space="preserve">E (microgram/s)</w:t>
            </w:r>
          </w:p>
        </w:tc>
        <w:tc>
          <w:tcPr/>
          <w:p>
            <w:pPr>
              <w:pStyle w:val="Compact"/>
              <w:jc w:val="right"/>
            </w:pPr>
            <w:r>
              <w:t xml:space="preserve">C_inf at k_vent 0.006</w:t>
            </w:r>
          </w:p>
        </w:tc>
        <w:tc>
          <w:tcPr/>
          <w:p>
            <w:pPr>
              <w:pStyle w:val="Compact"/>
              <w:jc w:val="right"/>
            </w:pPr>
            <w:r>
              <w:t xml:space="preserve">C_inf at k_vent 0.012</w:t>
            </w:r>
          </w:p>
        </w:tc>
        <w:tc>
          <w:tcPr/>
          <w:p>
            <w:pPr>
              <w:pStyle w:val="Compact"/>
              <w:jc w:val="left"/>
            </w:pPr>
            <w:r>
              <w:t xml:space="preserve">Direction</w:t>
            </w:r>
          </w:p>
        </w:tc>
      </w:tr>
      <w:tr>
        <w:tc>
          <w:tcPr/>
          <w:p>
            <w:pPr>
              <w:pStyle w:val="Compact"/>
              <w:jc w:val="left"/>
            </w:pPr>
            <w:r>
              <w:t xml:space="preserve">Source-dominated</w:t>
            </w:r>
          </w:p>
        </w:tc>
        <w:tc>
          <w:tcPr/>
          <w:p>
            <w:pPr>
              <w:pStyle w:val="Compact"/>
              <w:jc w:val="right"/>
            </w:pPr>
            <w:r>
              <w:t xml:space="preserve">120000</w:t>
            </w:r>
          </w:p>
        </w:tc>
        <w:tc>
          <w:tcPr/>
          <w:p>
            <w:pPr>
              <w:pStyle w:val="Compact"/>
              <w:jc w:val="right"/>
            </w:pPr>
            <w:r>
              <w:t xml:space="preserve">109.268293</w:t>
            </w:r>
          </w:p>
        </w:tc>
        <w:tc>
          <w:tcPr/>
          <w:p>
            <w:pPr>
              <w:pStyle w:val="Compact"/>
              <w:jc w:val="right"/>
            </w:pPr>
            <w:r>
              <w:t xml:space="preserve">61.234568</w:t>
            </w:r>
          </w:p>
        </w:tc>
        <w:tc>
          <w:tcPr/>
          <w:p>
            <w:pPr>
              <w:pStyle w:val="Compact"/>
              <w:jc w:val="left"/>
            </w:pPr>
            <w:r>
              <w:t xml:space="preserve">decreasing</w:t>
            </w:r>
          </w:p>
        </w:tc>
      </w:tr>
      <w:tr>
        <w:tc>
          <w:tcPr/>
          <w:p>
            <w:pPr>
              <w:pStyle w:val="Compact"/>
              <w:jc w:val="left"/>
            </w:pPr>
            <w:r>
              <w:t xml:space="preserve">Background-dominated</w:t>
            </w:r>
          </w:p>
        </w:tc>
        <w:tc>
          <w:tcPr/>
          <w:p>
            <w:pPr>
              <w:pStyle w:val="Compact"/>
              <w:jc w:val="right"/>
            </w:pPr>
            <w:r>
              <w:t xml:space="preserve">200</w:t>
            </w:r>
          </w:p>
        </w:tc>
        <w:tc>
          <w:tcPr/>
          <w:p>
            <w:pPr>
              <w:pStyle w:val="Compact"/>
              <w:jc w:val="right"/>
            </w:pPr>
            <w:r>
              <w:t xml:space="preserve">11.869919</w:t>
            </w:r>
          </w:p>
        </w:tc>
        <w:tc>
          <w:tcPr/>
          <w:p>
            <w:pPr>
              <w:pStyle w:val="Compact"/>
              <w:jc w:val="right"/>
            </w:pPr>
            <w:r>
              <w:t xml:space="preserve">11.934156</w:t>
            </w:r>
          </w:p>
        </w:tc>
        <w:tc>
          <w:tcPr/>
          <w:p>
            <w:pPr>
              <w:pStyle w:val="Compact"/>
              <w:jc w:val="left"/>
            </w:pPr>
            <w:r>
              <w:t xml:space="preserve">increasing toward C_bg</w:t>
            </w:r>
          </w:p>
        </w:tc>
      </w:tr>
    </w:tbl>
    <w:bookmarkEnd w:id="118"/>
    <w:bookmarkStart w:id="119" w:name="a.8-miscellaneous-physics-vectors"/>
    <w:p>
      <w:pPr>
        <w:pStyle w:val="Heading2"/>
      </w:pPr>
      <w:r>
        <w:t xml:space="preserve">A.8 Miscellaneous physics vectors</w:t>
      </w:r>
    </w:p>
    <w:p>
      <w:pPr>
        <w:pStyle w:val="FirstParagraph"/>
      </w:pPr>
      <w:r>
        <w:t xml:space="preserve">Magnus saturation vapour pressure at 20 C: 2332.596022 Pa. Pedestrian wind for v10 3.0 m/s, z0 0.5 m, z 1.5 m: 1.100177374 m/s. Energetic sum of 55, 50, and 45 dB sources: 56.511331047 dB. Largest remainder for N 7 with probabilities 0.45/0.35/0.20: counts 3, 3, 1. Partial-availability and all-unavailable risk vectors, and a compound priority example, are in the JSON file.</w:t>
      </w:r>
    </w:p>
    <w:bookmarkEnd w:id="119"/>
    <w:bookmarkEnd w:id="120"/>
    <w:bookmarkStart w:id="121" w:name="X811bb76ad541d694591bf80d3c1a7a4a38956c4"/>
    <w:p>
      <w:pPr>
        <w:pStyle w:val="Heading1"/>
      </w:pPr>
      <w:r>
        <w:t xml:space="preserve">Appendix B. Minimum normalized scenario structure</w:t>
      </w:r>
    </w:p>
    <w:p>
      <w:pPr>
        <w:pStyle w:val="SourceCode"/>
      </w:pPr>
      <w:r>
        <w:rPr>
          <w:rStyle w:val="FunctionTok"/>
        </w:rPr>
        <w:t xml:space="preserve">{</w:t>
      </w:r>
      <w:r>
        <w:br/>
      </w:r>
      <w:r>
        <w:rPr>
          <w:rStyle w:val="NormalTok"/>
        </w:rPr>
        <w:t xml:space="preserve">  </w:t>
      </w:r>
      <w:r>
        <w:rPr>
          <w:rStyle w:val="DataTypeTok"/>
        </w:rPr>
        <w:t xml:space="preserve">"schema_version"</w:t>
      </w:r>
      <w:r>
        <w:rPr>
          <w:rStyle w:val="FunctionTok"/>
        </w:rPr>
        <w:t xml:space="preserve">:</w:t>
      </w:r>
      <w:r>
        <w:rPr>
          <w:rStyle w:val="NormalTok"/>
        </w:rPr>
        <w:t xml:space="preserve"> </w:t>
      </w:r>
      <w:r>
        <w:rPr>
          <w:rStyle w:val="StringTok"/>
        </w:rPr>
        <w:t xml:space="preserve">"4.4.0"</w:t>
      </w:r>
      <w:r>
        <w:rPr>
          <w:rStyle w:val="FunctionTok"/>
        </w:rPr>
        <w:t xml:space="preserve">,</w:t>
      </w:r>
      <w:r>
        <w:br/>
      </w:r>
      <w:r>
        <w:rPr>
          <w:rStyle w:val="NormalTok"/>
        </w:rPr>
        <w:t xml:space="preserve">  </w:t>
      </w:r>
      <w:r>
        <w:rPr>
          <w:rStyle w:val="DataTypeTok"/>
        </w:rPr>
        <w:t xml:space="preserve">"algorithm_version"</w:t>
      </w:r>
      <w:r>
        <w:rPr>
          <w:rStyle w:val="FunctionTok"/>
        </w:rPr>
        <w:t xml:space="preserve">:</w:t>
      </w:r>
      <w:r>
        <w:rPr>
          <w:rStyle w:val="NormalTok"/>
        </w:rPr>
        <w:t xml:space="preserve"> </w:t>
      </w:r>
      <w:r>
        <w:rPr>
          <w:rStyle w:val="StringTok"/>
        </w:rPr>
        <w:t xml:space="preserve">"iotsyn-smartcity-4.4.0"</w:t>
      </w:r>
      <w:r>
        <w:rPr>
          <w:rStyle w:val="FunctionTok"/>
        </w:rPr>
        <w:t xml:space="preserve">,</w:t>
      </w:r>
      <w:r>
        <w:br/>
      </w:r>
      <w:r>
        <w:rPr>
          <w:rStyle w:val="NormalTok"/>
        </w:rPr>
        <w:t xml:space="preserve">  </w:t>
      </w:r>
      <w:r>
        <w:rPr>
          <w:rStyle w:val="DataTypeTok"/>
        </w:rPr>
        <w:t xml:space="preserve">"master_seed"</w:t>
      </w:r>
      <w:r>
        <w:rPr>
          <w:rStyle w:val="FunctionTok"/>
        </w:rPr>
        <w:t xml:space="preserve">:</w:t>
      </w:r>
      <w:r>
        <w:rPr>
          <w:rStyle w:val="NormalTok"/>
        </w:rPr>
        <w:t xml:space="preserve"> </w:t>
      </w:r>
      <w:r>
        <w:rPr>
          <w:rStyle w:val="StringTok"/>
        </w:rPr>
        <w:t xml:space="preserve">"123456"</w:t>
      </w:r>
      <w:r>
        <w:rPr>
          <w:rStyle w:val="FunctionTok"/>
        </w:rPr>
        <w:t xml:space="preserve">,</w:t>
      </w:r>
      <w:r>
        <w:br/>
      </w:r>
      <w:r>
        <w:rPr>
          <w:rStyle w:val="NormalTok"/>
        </w:rPr>
        <w:t xml:space="preserve">  </w:t>
      </w:r>
      <w:r>
        <w:rPr>
          <w:rStyle w:val="DataTypeTok"/>
        </w:rPr>
        <w:t xml:space="preserve">"time"</w:t>
      </w:r>
      <w:r>
        <w:rPr>
          <w:rStyle w:val="FunctionTok"/>
        </w:rPr>
        <w:t xml:space="preserve">:</w:t>
      </w:r>
      <w:r>
        <w:rPr>
          <w:rStyle w:val="NormalTok"/>
        </w:rPr>
        <w:t xml:space="preserve"> </w:t>
      </w:r>
      <w:r>
        <w:rPr>
          <w:rStyle w:val="FunctionTok"/>
        </w:rPr>
        <w:t xml:space="preserve">{</w:t>
      </w:r>
      <w:r>
        <w:br/>
      </w:r>
      <w:r>
        <w:rPr>
          <w:rStyle w:val="NormalTok"/>
        </w:rPr>
        <w:t xml:space="preserve">    </w:t>
      </w:r>
      <w:r>
        <w:rPr>
          <w:rStyle w:val="DataTypeTok"/>
        </w:rPr>
        <w:t xml:space="preserve">"start_timestamp"</w:t>
      </w:r>
      <w:r>
        <w:rPr>
          <w:rStyle w:val="FunctionTok"/>
        </w:rPr>
        <w:t xml:space="preserve">:</w:t>
      </w:r>
      <w:r>
        <w:rPr>
          <w:rStyle w:val="NormalTok"/>
        </w:rPr>
        <w:t xml:space="preserve"> </w:t>
      </w:r>
      <w:r>
        <w:rPr>
          <w:rStyle w:val="StringTok"/>
        </w:rPr>
        <w:t xml:space="preserve">"2026-07-14T00:00:00+01:00"</w:t>
      </w:r>
      <w:r>
        <w:rPr>
          <w:rStyle w:val="FunctionTok"/>
        </w:rPr>
        <w:t xml:space="preserve">,</w:t>
      </w:r>
      <w:r>
        <w:br/>
      </w:r>
      <w:r>
        <w:rPr>
          <w:rStyle w:val="NormalTok"/>
        </w:rPr>
        <w:t xml:space="preserve">    </w:t>
      </w:r>
      <w:r>
        <w:rPr>
          <w:rStyle w:val="DataTypeTok"/>
        </w:rPr>
        <w:t xml:space="preserve">"step_seconds"</w:t>
      </w:r>
      <w:r>
        <w:rPr>
          <w:rStyle w:val="FunctionTok"/>
        </w:rPr>
        <w:t xml:space="preserve">:</w:t>
      </w:r>
      <w:r>
        <w:rPr>
          <w:rStyle w:val="NormalTok"/>
        </w:rPr>
        <w:t xml:space="preserve"> </w:t>
      </w:r>
      <w:r>
        <w:rPr>
          <w:rStyle w:val="DecValTok"/>
        </w:rPr>
        <w:t xml:space="preserve">900</w:t>
      </w:r>
      <w:r>
        <w:rPr>
          <w:rStyle w:val="FunctionTok"/>
        </w:rPr>
        <w:t xml:space="preserve">,</w:t>
      </w:r>
      <w:r>
        <w:br/>
      </w:r>
      <w:r>
        <w:rPr>
          <w:rStyle w:val="NormalTok"/>
        </w:rPr>
        <w:t xml:space="preserve">    </w:t>
      </w:r>
      <w:r>
        <w:rPr>
          <w:rStyle w:val="DataTypeTok"/>
        </w:rPr>
        <w:t xml:space="preserve">"row_count"</w:t>
      </w:r>
      <w:r>
        <w:rPr>
          <w:rStyle w:val="FunctionTok"/>
        </w:rPr>
        <w:t xml:space="preserve">:</w:t>
      </w:r>
      <w:r>
        <w:rPr>
          <w:rStyle w:val="NormalTok"/>
        </w:rPr>
        <w:t xml:space="preserve"> </w:t>
      </w:r>
      <w:r>
        <w:rPr>
          <w:rStyle w:val="DecValTok"/>
        </w:rPr>
        <w:t xml:space="preserve">672</w:t>
      </w:r>
      <w:r>
        <w:rPr>
          <w:rStyle w:val="FunctionTok"/>
        </w:rPr>
        <w:t xml:space="preserve">,</w:t>
      </w:r>
      <w:r>
        <w:br/>
      </w:r>
      <w:r>
        <w:rPr>
          <w:rStyle w:val="NormalTok"/>
        </w:rPr>
        <w:t xml:space="preserve">    </w:t>
      </w:r>
      <w:r>
        <w:rPr>
          <w:rStyle w:val="DataTypeTok"/>
        </w:rPr>
        <w:t xml:space="preserve">"timezone"</w:t>
      </w:r>
      <w:r>
        <w:rPr>
          <w:rStyle w:val="FunctionTok"/>
        </w:rPr>
        <w:t xml:space="preserve">:</w:t>
      </w:r>
      <w:r>
        <w:rPr>
          <w:rStyle w:val="NormalTok"/>
        </w:rPr>
        <w:t xml:space="preserve"> </w:t>
      </w:r>
      <w:r>
        <w:rPr>
          <w:rStyle w:val="StringTok"/>
        </w:rPr>
        <w:t xml:space="preserve">"Africa/Algiers"</w:t>
      </w:r>
      <w:r>
        <w:rPr>
          <w:rStyle w:val="FunctionTok"/>
        </w:rPr>
        <w:t xml:space="preserve">,</w:t>
      </w:r>
      <w:r>
        <w:br/>
      </w:r>
      <w:r>
        <w:rPr>
          <w:rStyle w:val="NormalTok"/>
        </w:rPr>
        <w:t xml:space="preserve">    </w:t>
      </w:r>
      <w:r>
        <w:rPr>
          <w:rStyle w:val="DataTypeTok"/>
        </w:rPr>
        <w:t xml:space="preserve">"warmup_duration_minutes"</w:t>
      </w:r>
      <w:r>
        <w:rPr>
          <w:rStyle w:val="FunctionTok"/>
        </w:rPr>
        <w:t xml:space="preserve">:</w:t>
      </w:r>
      <w:r>
        <w:rPr>
          <w:rStyle w:val="NormalTok"/>
        </w:rPr>
        <w:t xml:space="preserve"> </w:t>
      </w:r>
      <w:r>
        <w:rPr>
          <w:rStyle w:val="DecValTok"/>
        </w:rPr>
        <w:t xml:space="preserve">1440</w:t>
      </w:r>
      <w:r>
        <w:br/>
      </w:r>
      <w:r>
        <w:rPr>
          <w:rStyle w:val="NormalTok"/>
        </w:rPr>
        <w:t xml:space="preserve">  </w:t>
      </w:r>
      <w:r>
        <w:rPr>
          <w:rStyle w:val="FunctionTok"/>
        </w:rPr>
        <w:t xml:space="preserve">},</w:t>
      </w:r>
      <w:r>
        <w:br/>
      </w:r>
      <w:r>
        <w:rPr>
          <w:rStyle w:val="NormalTok"/>
        </w:rPr>
        <w:t xml:space="preserve">  </w:t>
      </w:r>
      <w:r>
        <w:rPr>
          <w:rStyle w:val="DataTypeTok"/>
        </w:rPr>
        <w:t xml:space="preserve">"location"</w:t>
      </w:r>
      <w:r>
        <w:rPr>
          <w:rStyle w:val="FunctionTok"/>
        </w:rPr>
        <w:t xml:space="preserve">:</w:t>
      </w:r>
      <w:r>
        <w:rPr>
          <w:rStyle w:val="NormalTok"/>
        </w:rPr>
        <w:t xml:space="preserve"> </w:t>
      </w:r>
      <w:r>
        <w:rPr>
          <w:rStyle w:val="FunctionTok"/>
        </w:rPr>
        <w:t xml:space="preserve">{</w:t>
      </w:r>
      <w:r>
        <w:br/>
      </w:r>
      <w:r>
        <w:rPr>
          <w:rStyle w:val="NormalTok"/>
        </w:rPr>
        <w:t xml:space="preserve">    </w:t>
      </w:r>
      <w:r>
        <w:rPr>
          <w:rStyle w:val="DataTypeTok"/>
        </w:rPr>
        <w:t xml:space="preserve">"latitude_deg"</w:t>
      </w:r>
      <w:r>
        <w:rPr>
          <w:rStyle w:val="FunctionTok"/>
        </w:rPr>
        <w:t xml:space="preserve">:</w:t>
      </w:r>
      <w:r>
        <w:rPr>
          <w:rStyle w:val="NormalTok"/>
        </w:rPr>
        <w:t xml:space="preserve"> </w:t>
      </w:r>
      <w:r>
        <w:rPr>
          <w:rStyle w:val="FloatTok"/>
        </w:rPr>
        <w:t xml:space="preserve">36.75</w:t>
      </w:r>
      <w:r>
        <w:rPr>
          <w:rStyle w:val="FunctionTok"/>
        </w:rPr>
        <w:t xml:space="preserve">,</w:t>
      </w:r>
      <w:r>
        <w:br/>
      </w:r>
      <w:r>
        <w:rPr>
          <w:rStyle w:val="NormalTok"/>
        </w:rPr>
        <w:t xml:space="preserve">    </w:t>
      </w:r>
      <w:r>
        <w:rPr>
          <w:rStyle w:val="DataTypeTok"/>
        </w:rPr>
        <w:t xml:space="preserve">"longitude_deg"</w:t>
      </w:r>
      <w:r>
        <w:rPr>
          <w:rStyle w:val="FunctionTok"/>
        </w:rPr>
        <w:t xml:space="preserve">:</w:t>
      </w:r>
      <w:r>
        <w:rPr>
          <w:rStyle w:val="NormalTok"/>
        </w:rPr>
        <w:t xml:space="preserve"> </w:t>
      </w:r>
      <w:r>
        <w:rPr>
          <w:rStyle w:val="FloatTok"/>
        </w:rPr>
        <w:t xml:space="preserve">3.06</w:t>
      </w:r>
      <w:r>
        <w:rPr>
          <w:rStyle w:val="FunctionTok"/>
        </w:rPr>
        <w:t xml:space="preserve">,</w:t>
      </w:r>
      <w:r>
        <w:br/>
      </w:r>
      <w:r>
        <w:rPr>
          <w:rStyle w:val="NormalTok"/>
        </w:rPr>
        <w:t xml:space="preserve">    </w:t>
      </w:r>
      <w:r>
        <w:rPr>
          <w:rStyle w:val="DataTypeTok"/>
        </w:rPr>
        <w:t xml:space="preserve">"solar_position_algorithm_version"</w:t>
      </w:r>
      <w:r>
        <w:rPr>
          <w:rStyle w:val="FunctionTok"/>
        </w:rPr>
        <w:t xml:space="preserve">:</w:t>
      </w:r>
      <w:r>
        <w:rPr>
          <w:rStyle w:val="NormalTok"/>
        </w:rPr>
        <w:t xml:space="preserve"> </w:t>
      </w:r>
      <w:r>
        <w:rPr>
          <w:rStyle w:val="StringTok"/>
        </w:rPr>
        <w:t xml:space="preserve">"iotsyn_solar_v1"</w:t>
      </w:r>
      <w:r>
        <w:br/>
      </w:r>
      <w:r>
        <w:rPr>
          <w:rStyle w:val="NormalTok"/>
        </w:rPr>
        <w:t xml:space="preserve">  </w:t>
      </w:r>
      <w:r>
        <w:rPr>
          <w:rStyle w:val="FunctionTok"/>
        </w:rPr>
        <w:t xml:space="preserve">},</w:t>
      </w:r>
      <w:r>
        <w:br/>
      </w:r>
      <w:r>
        <w:rPr>
          <w:rStyle w:val="NormalTok"/>
        </w:rPr>
        <w:t xml:space="preserve">  </w:t>
      </w:r>
      <w:r>
        <w:rPr>
          <w:rStyle w:val="DataTypeTok"/>
        </w:rPr>
        <w:t xml:space="preserve">"occupancy"</w:t>
      </w:r>
      <w:r>
        <w:rPr>
          <w:rStyle w:val="FunctionTok"/>
        </w:rPr>
        <w:t xml:space="preserve">:</w:t>
      </w:r>
      <w:r>
        <w:rPr>
          <w:rStyle w:val="NormalTok"/>
        </w:rPr>
        <w:t xml:space="preserve"> </w:t>
      </w:r>
      <w:r>
        <w:rPr>
          <w:rStyle w:val="FunctionTok"/>
        </w:rPr>
        <w:t xml:space="preserve">{</w:t>
      </w:r>
      <w:r>
        <w:br/>
      </w:r>
      <w:r>
        <w:rPr>
          <w:rStyle w:val="NormalTok"/>
        </w:rPr>
        <w:t xml:space="preserve">    </w:t>
      </w:r>
      <w:r>
        <w:rPr>
          <w:rStyle w:val="DataTypeTok"/>
        </w:rPr>
        <w:t xml:space="preserve">"initial_occupancy_mode"</w:t>
      </w:r>
      <w:r>
        <w:rPr>
          <w:rStyle w:val="FunctionTok"/>
        </w:rPr>
        <w:t xml:space="preserve">:</w:t>
      </w:r>
      <w:r>
        <w:rPr>
          <w:rStyle w:val="NormalTok"/>
        </w:rPr>
        <w:t xml:space="preserve"> </w:t>
      </w:r>
      <w:r>
        <w:rPr>
          <w:rStyle w:val="StringTok"/>
        </w:rPr>
        <w:t xml:space="preserve">"sampled_stationary"</w:t>
      </w:r>
      <w:r>
        <w:rPr>
          <w:rStyle w:val="FunctionTok"/>
        </w:rPr>
        <w:t xml:space="preserve">,</w:t>
      </w:r>
      <w:r>
        <w:br/>
      </w:r>
      <w:r>
        <w:rPr>
          <w:rStyle w:val="NormalTok"/>
        </w:rPr>
        <w:t xml:space="preserve">    </w:t>
      </w:r>
      <w:r>
        <w:rPr>
          <w:rStyle w:val="DataTypeTok"/>
        </w:rPr>
        <w:t xml:space="preserve">"space_capacity_persons"</w:t>
      </w:r>
      <w:r>
        <w:rPr>
          <w:rStyle w:val="FunctionTok"/>
        </w:rPr>
        <w:t xml:space="preserve">:</w:t>
      </w:r>
      <w:r>
        <w:rPr>
          <w:rStyle w:val="NormalTok"/>
        </w:rPr>
        <w:t xml:space="preserve"> </w:t>
      </w:r>
      <w:r>
        <w:rPr>
          <w:rStyle w:val="DecValTok"/>
        </w:rPr>
        <w:t xml:space="preserve">500</w:t>
      </w:r>
      <w:r>
        <w:rPr>
          <w:rStyle w:val="FunctionTok"/>
        </w:rPr>
        <w:t xml:space="preserve">,</w:t>
      </w:r>
      <w:r>
        <w:br/>
      </w:r>
      <w:r>
        <w:rPr>
          <w:rStyle w:val="NormalTok"/>
        </w:rPr>
        <w:t xml:space="preserve">    </w:t>
      </w:r>
      <w:r>
        <w:rPr>
          <w:rStyle w:val="DataTypeTok"/>
        </w:rPr>
        <w:t xml:space="preserve">"capacity_mode"</w:t>
      </w:r>
      <w:r>
        <w:rPr>
          <w:rStyle w:val="FunctionTok"/>
        </w:rPr>
        <w:t xml:space="preserve">:</w:t>
      </w:r>
      <w:r>
        <w:rPr>
          <w:rStyle w:val="NormalTok"/>
        </w:rPr>
        <w:t xml:space="preserve"> </w:t>
      </w:r>
      <w:r>
        <w:rPr>
          <w:rStyle w:val="StringTok"/>
        </w:rPr>
        <w:t xml:space="preserve">"report_only"</w:t>
      </w:r>
      <w:r>
        <w:br/>
      </w:r>
      <w:r>
        <w:rPr>
          <w:rStyle w:val="NormalTok"/>
        </w:rPr>
        <w:t xml:space="preserve">  </w:t>
      </w:r>
      <w:r>
        <w:rPr>
          <w:rStyle w:val="FunctionTok"/>
        </w:rPr>
        <w:t xml:space="preserve">},</w:t>
      </w:r>
      <w:r>
        <w:br/>
      </w:r>
      <w:r>
        <w:rPr>
          <w:rStyle w:val="NormalTok"/>
        </w:rPr>
        <w:t xml:space="preserve">  </w:t>
      </w:r>
      <w:r>
        <w:rPr>
          <w:rStyle w:val="DataTypeTok"/>
        </w:rPr>
        <w:t xml:space="preserve">"thermal"</w:t>
      </w:r>
      <w:r>
        <w:rPr>
          <w:rStyle w:val="FunctionTok"/>
        </w:rPr>
        <w:t xml:space="preserve">:</w:t>
      </w:r>
      <w:r>
        <w:rPr>
          <w:rStyle w:val="NormalTok"/>
        </w:rPr>
        <w:t xml:space="preserve"> </w:t>
      </w:r>
      <w:r>
        <w:rPr>
          <w:rStyle w:val="FunctionTok"/>
        </w:rPr>
        <w:t xml:space="preserve">{</w:t>
      </w:r>
      <w:r>
        <w:br/>
      </w:r>
      <w:r>
        <w:rPr>
          <w:rStyle w:val="NormalTok"/>
        </w:rPr>
        <w:t xml:space="preserve">    </w:t>
      </w:r>
      <w:r>
        <w:rPr>
          <w:rStyle w:val="DataTypeTok"/>
        </w:rPr>
        <w:t xml:space="preserve">"primary_index"</w:t>
      </w:r>
      <w:r>
        <w:rPr>
          <w:rStyle w:val="FunctionTok"/>
        </w:rPr>
        <w:t xml:space="preserve">:</w:t>
      </w:r>
      <w:r>
        <w:rPr>
          <w:rStyle w:val="NormalTok"/>
        </w:rPr>
        <w:t xml:space="preserve"> </w:t>
      </w:r>
      <w:r>
        <w:rPr>
          <w:rStyle w:val="StringTok"/>
        </w:rPr>
        <w:t xml:space="preserve">"UTCI"</w:t>
      </w:r>
      <w:r>
        <w:rPr>
          <w:rStyle w:val="FunctionTok"/>
        </w:rPr>
        <w:t xml:space="preserve">,</w:t>
      </w:r>
      <w:r>
        <w:br/>
      </w:r>
      <w:r>
        <w:rPr>
          <w:rStyle w:val="NormalTok"/>
        </w:rPr>
        <w:t xml:space="preserve">    </w:t>
      </w:r>
      <w:r>
        <w:rPr>
          <w:rStyle w:val="DataTypeTok"/>
        </w:rPr>
        <w:t xml:space="preserve">"utci_module_version"</w:t>
      </w:r>
      <w:r>
        <w:rPr>
          <w:rStyle w:val="FunctionTok"/>
        </w:rPr>
        <w:t xml:space="preserve">:</w:t>
      </w:r>
      <w:r>
        <w:rPr>
          <w:rStyle w:val="NormalTok"/>
        </w:rPr>
        <w:t xml:space="preserve"> </w:t>
      </w:r>
      <w:r>
        <w:rPr>
          <w:rStyle w:val="StringTok"/>
        </w:rPr>
        <w:t xml:space="preserve">"utci_approx_v1"</w:t>
      </w:r>
      <w:r>
        <w:rPr>
          <w:rStyle w:val="FunctionTok"/>
        </w:rPr>
        <w:t xml:space="preserve">,</w:t>
      </w:r>
      <w:r>
        <w:br/>
      </w:r>
      <w:r>
        <w:rPr>
          <w:rStyle w:val="NormalTok"/>
        </w:rPr>
        <w:t xml:space="preserve">    </w:t>
      </w:r>
      <w:r>
        <w:rPr>
          <w:rStyle w:val="DataTypeTok"/>
        </w:rPr>
        <w:t xml:space="preserve">"domain_policy"</w:t>
      </w:r>
      <w:r>
        <w:rPr>
          <w:rStyle w:val="FunctionTok"/>
        </w:rPr>
        <w:t xml:space="preserve">:</w:t>
      </w:r>
      <w:r>
        <w:rPr>
          <w:rStyle w:val="NormalTok"/>
        </w:rPr>
        <w:t xml:space="preserve"> </w:t>
      </w:r>
      <w:r>
        <w:rPr>
          <w:rStyle w:val="StringTok"/>
        </w:rPr>
        <w:t xml:space="preserve">"clamp_and_flag"</w:t>
      </w:r>
      <w:r>
        <w:br/>
      </w:r>
      <w:r>
        <w:rPr>
          <w:rStyle w:val="NormalTok"/>
        </w:rPr>
        <w:t xml:space="preserve">  </w:t>
      </w:r>
      <w:r>
        <w:rPr>
          <w:rStyle w:val="FunctionTok"/>
        </w:rPr>
        <w:t xml:space="preserve">},</w:t>
      </w:r>
      <w:r>
        <w:br/>
      </w:r>
      <w:r>
        <w:rPr>
          <w:rStyle w:val="NormalTok"/>
        </w:rPr>
        <w:t xml:space="preserve">  </w:t>
      </w:r>
      <w:r>
        <w:rPr>
          <w:rStyle w:val="DataTypeTok"/>
        </w:rPr>
        <w:t xml:space="preserve">"air_quality"</w:t>
      </w:r>
      <w:r>
        <w:rPr>
          <w:rStyle w:val="FunctionTok"/>
        </w:rPr>
        <w:t xml:space="preserve">:</w:t>
      </w:r>
      <w:r>
        <w:rPr>
          <w:rStyle w:val="NormalTok"/>
        </w:rPr>
        <w:t xml:space="preserve"> </w:t>
      </w:r>
      <w:r>
        <w:rPr>
          <w:rStyle w:val="FunctionTok"/>
        </w:rPr>
        <w:t xml:space="preserve">{</w:t>
      </w:r>
      <w:r>
        <w:br/>
      </w:r>
      <w:r>
        <w:rPr>
          <w:rStyle w:val="NormalTok"/>
        </w:rPr>
        <w:t xml:space="preserve">    </w:t>
      </w:r>
      <w:r>
        <w:rPr>
          <w:rStyle w:val="DataTypeTok"/>
        </w:rPr>
        <w:t xml:space="preserve">"decision_profile"</w:t>
      </w:r>
      <w:r>
        <w:rPr>
          <w:rStyle w:val="FunctionTok"/>
        </w:rPr>
        <w:t xml:space="preserve">:</w:t>
      </w:r>
      <w:r>
        <w:rPr>
          <w:rStyle w:val="NormalTok"/>
        </w:rPr>
        <w:t xml:space="preserve"> </w:t>
      </w:r>
      <w:r>
        <w:rPr>
          <w:rStyle w:val="StringTok"/>
        </w:rPr>
        <w:t xml:space="preserve">"iotsyn_operational_24h_v1"</w:t>
      </w:r>
      <w:r>
        <w:rPr>
          <w:rStyle w:val="FunctionTok"/>
        </w:rPr>
        <w:t xml:space="preserve">,</w:t>
      </w:r>
      <w:r>
        <w:br/>
      </w:r>
      <w:r>
        <w:rPr>
          <w:rStyle w:val="NormalTok"/>
        </w:rPr>
        <w:t xml:space="preserve">    </w:t>
      </w:r>
      <w:r>
        <w:rPr>
          <w:rStyle w:val="DataTypeTok"/>
        </w:rPr>
        <w:t xml:space="preserve">"incomplete_window_policy"</w:t>
      </w:r>
      <w:r>
        <w:rPr>
          <w:rStyle w:val="FunctionTok"/>
        </w:rPr>
        <w:t xml:space="preserve">:</w:t>
      </w:r>
      <w:r>
        <w:rPr>
          <w:rStyle w:val="NormalTok"/>
        </w:rPr>
        <w:t xml:space="preserve"> </w:t>
      </w:r>
      <w:r>
        <w:rPr>
          <w:rStyle w:val="StringTok"/>
        </w:rPr>
        <w:t xml:space="preserve">"require_complete_window"</w:t>
      </w:r>
      <w:r>
        <w:br/>
      </w:r>
      <w:r>
        <w:rPr>
          <w:rStyle w:val="NormalTok"/>
        </w:rPr>
        <w:t xml:space="preserve">  </w:t>
      </w:r>
      <w:r>
        <w:rPr>
          <w:rStyle w:val="FunctionTok"/>
        </w:rPr>
        <w:t xml:space="preserve">},</w:t>
      </w:r>
      <w:r>
        <w:br/>
      </w:r>
      <w:r>
        <w:rPr>
          <w:rStyle w:val="NormalTok"/>
        </w:rPr>
        <w:t xml:space="preserve">  </w:t>
      </w:r>
      <w:r>
        <w:rPr>
          <w:rStyle w:val="DataTypeTok"/>
        </w:rPr>
        <w:t xml:space="preserve">"noise"</w:t>
      </w:r>
      <w:r>
        <w:rPr>
          <w:rStyle w:val="FunctionTok"/>
        </w:rPr>
        <w:t xml:space="preserve">:</w:t>
      </w:r>
      <w:r>
        <w:rPr>
          <w:rStyle w:val="NormalTok"/>
        </w:rPr>
        <w:t xml:space="preserve"> </w:t>
      </w:r>
      <w:r>
        <w:rPr>
          <w:rStyle w:val="FunctionTok"/>
        </w:rPr>
        <w:t xml:space="preserve">{</w:t>
      </w:r>
      <w:r>
        <w:br/>
      </w:r>
      <w:r>
        <w:rPr>
          <w:rStyle w:val="NormalTok"/>
        </w:rPr>
        <w:t xml:space="preserve">    </w:t>
      </w:r>
      <w:r>
        <w:rPr>
          <w:rStyle w:val="DataTypeTok"/>
        </w:rPr>
        <w:t xml:space="preserve">"averaging_window_minutes"</w:t>
      </w:r>
      <w:r>
        <w:rPr>
          <w:rStyle w:val="FunctionTok"/>
        </w:rPr>
        <w:t xml:space="preserve">:</w:t>
      </w:r>
      <w:r>
        <w:rPr>
          <w:rStyle w:val="NormalTok"/>
        </w:rPr>
        <w:t xml:space="preserve"> </w:t>
      </w:r>
      <w:r>
        <w:rPr>
          <w:rStyle w:val="DecValTok"/>
        </w:rPr>
        <w:t xml:space="preserve">15</w:t>
      </w:r>
      <w:r>
        <w:br/>
      </w:r>
      <w:r>
        <w:rPr>
          <w:rStyle w:val="NormalTok"/>
        </w:rPr>
        <w:t xml:space="preserve">  </w:t>
      </w:r>
      <w:r>
        <w:rPr>
          <w:rStyle w:val="FunctionTok"/>
        </w:rPr>
        <w:t xml:space="preserve">},</w:t>
      </w:r>
      <w:r>
        <w:br/>
      </w:r>
      <w:r>
        <w:rPr>
          <w:rStyle w:val="NormalTok"/>
        </w:rPr>
        <w:t xml:space="preserve">  </w:t>
      </w:r>
      <w:r>
        <w:rPr>
          <w:rStyle w:val="DataTypeTok"/>
        </w:rPr>
        <w:t xml:space="preserve">"decision"</w:t>
      </w:r>
      <w:r>
        <w:rPr>
          <w:rStyle w:val="FunctionTok"/>
        </w:rPr>
        <w:t xml:space="preserve">:</w:t>
      </w:r>
      <w:r>
        <w:rPr>
          <w:rStyle w:val="NormalTok"/>
        </w:rPr>
        <w:t xml:space="preserve"> </w:t>
      </w:r>
      <w:r>
        <w:rPr>
          <w:rStyle w:val="FunctionTok"/>
        </w:rPr>
        <w:t xml:space="preserve">{</w:t>
      </w:r>
      <w:r>
        <w:br/>
      </w:r>
      <w:r>
        <w:rPr>
          <w:rStyle w:val="NormalTok"/>
        </w:rPr>
        <w:t xml:space="preserve">    </w:t>
      </w:r>
      <w:r>
        <w:rPr>
          <w:rStyle w:val="DataTypeTok"/>
        </w:rPr>
        <w:t xml:space="preserve">"aggregation_rule"</w:t>
      </w:r>
      <w:r>
        <w:rPr>
          <w:rStyle w:val="FunctionTok"/>
        </w:rPr>
        <w:t xml:space="preserve">:</w:t>
      </w:r>
      <w:r>
        <w:rPr>
          <w:rStyle w:val="NormalTok"/>
        </w:rPr>
        <w:t xml:space="preserve"> </w:t>
      </w:r>
      <w:r>
        <w:rPr>
          <w:rStyle w:val="StringTok"/>
        </w:rPr>
        <w:t xml:space="preserve">"conservative_max_v1"</w:t>
      </w:r>
      <w:r>
        <w:rPr>
          <w:rStyle w:val="FunctionTok"/>
        </w:rPr>
        <w:t xml:space="preserve">,</w:t>
      </w:r>
      <w:r>
        <w:br/>
      </w:r>
      <w:r>
        <w:rPr>
          <w:rStyle w:val="NormalTok"/>
        </w:rPr>
        <w:t xml:space="preserve">    </w:t>
      </w:r>
      <w:r>
        <w:rPr>
          <w:rStyle w:val="DataTypeTok"/>
        </w:rPr>
        <w:t xml:space="preserve">"decision_mode"</w:t>
      </w:r>
      <w:r>
        <w:rPr>
          <w:rStyle w:val="FunctionTok"/>
        </w:rPr>
        <w:t xml:space="preserve">:</w:t>
      </w:r>
      <w:r>
        <w:rPr>
          <w:rStyle w:val="NormalTok"/>
        </w:rPr>
        <w:t xml:space="preserve"> </w:t>
      </w:r>
      <w:r>
        <w:rPr>
          <w:rStyle w:val="StringTok"/>
        </w:rPr>
        <w:t xml:space="preserve">"ex_post"</w:t>
      </w:r>
      <w:r>
        <w:rPr>
          <w:rStyle w:val="FunctionTok"/>
        </w:rPr>
        <w:t xml:space="preserve">,</w:t>
      </w:r>
      <w:r>
        <w:br/>
      </w:r>
      <w:r>
        <w:rPr>
          <w:rStyle w:val="NormalTok"/>
        </w:rPr>
        <w:t xml:space="preserve">    </w:t>
      </w:r>
      <w:r>
        <w:rPr>
          <w:rStyle w:val="DataTypeTok"/>
        </w:rPr>
        <w:t xml:space="preserve">"priority_algorithm_version"</w:t>
      </w:r>
      <w:r>
        <w:rPr>
          <w:rStyle w:val="FunctionTok"/>
        </w:rPr>
        <w:t xml:space="preserve">:</w:t>
      </w:r>
      <w:r>
        <w:rPr>
          <w:rStyle w:val="NormalTok"/>
        </w:rPr>
        <w:t xml:space="preserve"> </w:t>
      </w:r>
      <w:r>
        <w:rPr>
          <w:rStyle w:val="StringTok"/>
        </w:rPr>
        <w:t xml:space="preserve">"compound_priority_v1"</w:t>
      </w:r>
      <w:r>
        <w:br/>
      </w:r>
      <w:r>
        <w:rPr>
          <w:rStyle w:val="NormalTok"/>
        </w:rPr>
        <w:t xml:space="preserve">  </w:t>
      </w:r>
      <w:r>
        <w:rPr>
          <w:rStyle w:val="FunctionTok"/>
        </w:rPr>
        <w:t xml:space="preserve">},</w:t>
      </w:r>
      <w:r>
        <w:br/>
      </w:r>
      <w:r>
        <w:rPr>
          <w:rStyle w:val="NormalTok"/>
        </w:rPr>
        <w:t xml:space="preserve">  </w:t>
      </w:r>
      <w:r>
        <w:rPr>
          <w:rStyle w:val="DataTypeTok"/>
        </w:rPr>
        <w:t xml:space="preserve">"serialization"</w:t>
      </w:r>
      <w:r>
        <w:rPr>
          <w:rStyle w:val="FunctionTok"/>
        </w:rPr>
        <w:t xml:space="preserve">:</w:t>
      </w:r>
      <w:r>
        <w:rPr>
          <w:rStyle w:val="NormalTok"/>
        </w:rPr>
        <w:t xml:space="preserve"> </w:t>
      </w:r>
      <w:r>
        <w:rPr>
          <w:rStyle w:val="FunctionTok"/>
        </w:rPr>
        <w:t xml:space="preserve">{</w:t>
      </w:r>
      <w:r>
        <w:br/>
      </w:r>
      <w:r>
        <w:rPr>
          <w:rStyle w:val="NormalTok"/>
        </w:rPr>
        <w:t xml:space="preserve">    </w:t>
      </w:r>
      <w:r>
        <w:rPr>
          <w:rStyle w:val="DataTypeTok"/>
        </w:rPr>
        <w:t xml:space="preserve">"profile"</w:t>
      </w:r>
      <w:r>
        <w:rPr>
          <w:rStyle w:val="FunctionTok"/>
        </w:rPr>
        <w:t xml:space="preserve">:</w:t>
      </w:r>
      <w:r>
        <w:rPr>
          <w:rStyle w:val="NormalTok"/>
        </w:rPr>
        <w:t xml:space="preserve"> </w:t>
      </w:r>
      <w:r>
        <w:rPr>
          <w:rStyle w:val="StringTok"/>
        </w:rPr>
        <w:t xml:space="preserve">"canonical-json-csv-v1"</w:t>
      </w:r>
      <w:r>
        <w:br/>
      </w:r>
      <w:r>
        <w:rPr>
          <w:rStyle w:val="NormalTok"/>
        </w:rPr>
        <w:t xml:space="preserve">  </w:t>
      </w:r>
      <w:r>
        <w:rPr>
          <w:rStyle w:val="FunctionTok"/>
        </w:rPr>
        <w:t xml:space="preserve">}</w:t>
      </w:r>
      <w:r>
        <w:br/>
      </w:r>
      <w:r>
        <w:rPr>
          <w:rStyle w:val="FunctionTok"/>
        </w:rPr>
        <w:t xml:space="preserve">}</w:t>
      </w:r>
    </w:p>
    <w:p>
      <w:pPr>
        <w:pStyle w:val="FirstParagraph"/>
      </w:pPr>
      <w:r>
        <w:t xml:space="preserve">The real normalized file contains every resolved default, not only this minimum illustration.</w:t>
      </w:r>
    </w:p>
    <w:bookmarkEnd w:id="121"/>
    <w:bookmarkStart w:id="122" w:name="appendix-c.-implementation-checklist"/>
    <w:p>
      <w:pPr>
        <w:pStyle w:val="Heading1"/>
      </w:pPr>
      <w:r>
        <w:t xml:space="preserve">Appendix C. Implementation checklist</w:t>
      </w:r>
    </w:p>
    <w:p>
      <w:pPr>
        <w:pStyle w:val="FirstParagraph"/>
      </w:pPr>
      <w:r>
        <w:t xml:space="preserve">Before coding a module, its developer SHALL be able to answer:</w:t>
      </w:r>
    </w:p>
    <w:p>
      <w:pPr>
        <w:numPr>
          <w:ilvl w:val="0"/>
          <w:numId w:val="1039"/>
        </w:numPr>
        <w:pStyle w:val="Compact"/>
      </w:pPr>
      <w:r>
        <w:t xml:space="preserve">What are the exact input and output units?</w:t>
      </w:r>
    </w:p>
    <w:p>
      <w:pPr>
        <w:numPr>
          <w:ilvl w:val="0"/>
          <w:numId w:val="1039"/>
        </w:numPr>
        <w:pStyle w:val="Compact"/>
      </w:pPr>
      <w:r>
        <w:t xml:space="preserve">Which named random stream does it consume?</w:t>
      </w:r>
    </w:p>
    <w:p>
      <w:pPr>
        <w:numPr>
          <w:ilvl w:val="0"/>
          <w:numId w:val="1039"/>
        </w:numPr>
        <w:pStyle w:val="Compact"/>
      </w:pPr>
      <w:r>
        <w:t xml:space="preserve">What is its initial condition?</w:t>
      </w:r>
    </w:p>
    <w:p>
      <w:pPr>
        <w:numPr>
          <w:ilvl w:val="0"/>
          <w:numId w:val="1039"/>
        </w:numPr>
        <w:pStyle w:val="Compact"/>
      </w:pPr>
      <w:r>
        <w:t xml:space="preserve">What happens at zero, at the domain boundary, and outside the domain?</w:t>
      </w:r>
    </w:p>
    <w:p>
      <w:pPr>
        <w:numPr>
          <w:ilvl w:val="0"/>
          <w:numId w:val="1039"/>
        </w:numPr>
        <w:pStyle w:val="Compact"/>
      </w:pPr>
      <w:r>
        <w:t xml:space="preserve">Is the output latent truth, observation, aggregation, or decision?</w:t>
      </w:r>
    </w:p>
    <w:p>
      <w:pPr>
        <w:numPr>
          <w:ilvl w:val="0"/>
          <w:numId w:val="1039"/>
        </w:numPr>
        <w:pStyle w:val="Compact"/>
      </w:pPr>
      <w:r>
        <w:t xml:space="preserve">Which deterministic and statistical tests cover it?</w:t>
      </w:r>
    </w:p>
    <w:p>
      <w:pPr>
        <w:numPr>
          <w:ilvl w:val="0"/>
          <w:numId w:val="1039"/>
        </w:numPr>
        <w:pStyle w:val="Compact"/>
      </w:pPr>
      <w:r>
        <w:t xml:space="preserve">Which version field changes if its behaviour changes?</w:t>
      </w:r>
    </w:p>
    <w:p>
      <w:pPr>
        <w:numPr>
          <w:ilvl w:val="0"/>
          <w:numId w:val="1039"/>
        </w:numPr>
        <w:pStyle w:val="Compact"/>
      </w:pPr>
      <w:r>
        <w:t xml:space="preserve">Does it alter any previously stable random sequence?</w:t>
      </w:r>
    </w:p>
    <w:p>
      <w:pPr>
        <w:numPr>
          <w:ilvl w:val="0"/>
          <w:numId w:val="1039"/>
        </w:numPr>
        <w:pStyle w:val="Compact"/>
      </w:pPr>
      <w:r>
        <w:t xml:space="preserve">Is a complete rolling history required?</w:t>
      </w:r>
    </w:p>
    <w:p>
      <w:pPr>
        <w:numPr>
          <w:ilvl w:val="0"/>
          <w:numId w:val="1039"/>
        </w:numPr>
        <w:pStyle w:val="Compact"/>
      </w:pPr>
      <w:r>
        <w:t xml:space="preserve">Can every output be recomputed from stored artifacts?</w:t>
      </w:r>
    </w:p>
    <w:bookmarkEnd w:id="122"/>
    <w:bookmarkStart w:id="123" w:name="Xbb7dba004be850eedf67b8a479f0f0d4608b09c"/>
    <w:p>
      <w:pPr>
        <w:pStyle w:val="Heading1"/>
      </w:pPr>
      <w:r>
        <w:t xml:space="preserve">Appendix D. Normative equations of iotsyn_solar_v1</w:t>
      </w:r>
    </w:p>
    <w:p>
      <w:pPr>
        <w:pStyle w:val="FirstParagraph"/>
      </w:pPr>
      <w:r>
        <w:t xml:space="preserve">All angles are in degrees unless stated; deg/rad conversions are explicit. Inputs: Unix time in seconds (UTC), latitude phi (north positive), longitude L (east positive). No atmospheric refraction is applied to the emitted elevation; sunrise and sunset use the conventional zenith of 90.833 degrees (refraction plus solar radius). This module is deterministic and consumes no random stream.</w:t>
      </w:r>
    </w:p>
    <w:p>
      <w:pPr>
        <w:pStyle w:val="SourceCode"/>
      </w:pPr>
      <w:r>
        <w:rPr>
          <w:rStyle w:val="VerbatimChar"/>
        </w:rPr>
        <w:t xml:space="preserve">JD    = unix_seconds/86400 + 2440587.5</w:t>
      </w:r>
      <w:r>
        <w:br/>
      </w:r>
      <w:r>
        <w:rPr>
          <w:rStyle w:val="VerbatimChar"/>
        </w:rPr>
        <w:t xml:space="preserve">T     = (JD - 2451545)/36525</w:t>
      </w:r>
      <w:r>
        <w:br/>
      </w:r>
      <w:r>
        <w:rPr>
          <w:rStyle w:val="VerbatimChar"/>
        </w:rPr>
        <w:t xml:space="preserve">L0    = mod(280.46646 + T*(36000.76983 + 0.0003032*T), 360)</w:t>
      </w:r>
      <w:r>
        <w:br/>
      </w:r>
      <w:r>
        <w:rPr>
          <w:rStyle w:val="VerbatimChar"/>
        </w:rPr>
        <w:t xml:space="preserve">M     = 357.52911 + T*(35999.05029 - 0.0001537*T)</w:t>
      </w:r>
      <w:r>
        <w:br/>
      </w:r>
      <w:r>
        <w:rPr>
          <w:rStyle w:val="VerbatimChar"/>
        </w:rPr>
        <w:t xml:space="preserve">ecc   = 0.016708634 - T*(0.000042037 + 0.0000001267*T)</w:t>
      </w:r>
      <w:r>
        <w:br/>
      </w:r>
      <w:r>
        <w:rPr>
          <w:rStyle w:val="VerbatimChar"/>
        </w:rPr>
        <w:t xml:space="preserve">Cq    = sin(M)*(1.914602 - T*(0.004817 + 0.000014*T))</w:t>
      </w:r>
      <w:r>
        <w:br/>
      </w:r>
      <w:r>
        <w:rPr>
          <w:rStyle w:val="VerbatimChar"/>
        </w:rPr>
        <w:t xml:space="preserve">        + sin(2M)*(0.019993 - 0.000101*T) + sin(3M)*0.000289</w:t>
      </w:r>
      <w:r>
        <w:br/>
      </w:r>
      <w:r>
        <w:rPr>
          <w:rStyle w:val="VerbatimChar"/>
        </w:rPr>
        <w:t xml:space="preserve">Ltrue = L0 + Cq</w:t>
      </w:r>
      <w:r>
        <w:br/>
      </w:r>
      <w:r>
        <w:rPr>
          <w:rStyle w:val="VerbatimChar"/>
        </w:rPr>
        <w:t xml:space="preserve">Omega = 125.04 - 1934.136*T</w:t>
      </w:r>
      <w:r>
        <w:br/>
      </w:r>
      <w:r>
        <w:rPr>
          <w:rStyle w:val="VerbatimChar"/>
        </w:rPr>
        <w:t xml:space="preserve">Lapp  = Ltrue - 0.00569 - 0.00478*sin(Omega)</w:t>
      </w:r>
      <w:r>
        <w:br/>
      </w:r>
      <w:r>
        <w:rPr>
          <w:rStyle w:val="VerbatimChar"/>
        </w:rPr>
        <w:t xml:space="preserve">eps0  = 23 + (26 + (21.448 - T*(46.815 + T*(0.00059 - 0.001813*T)))/60)/60</w:t>
      </w:r>
      <w:r>
        <w:br/>
      </w:r>
      <w:r>
        <w:rPr>
          <w:rStyle w:val="VerbatimChar"/>
        </w:rPr>
        <w:t xml:space="preserve">eps   = eps0 + 0.00256*cos(Omega)</w:t>
      </w:r>
      <w:r>
        <w:br/>
      </w:r>
      <w:r>
        <w:rPr>
          <w:rStyle w:val="VerbatimChar"/>
        </w:rPr>
        <w:t xml:space="preserve">decl  = asin( sin(eps)*sin(Lapp) )</w:t>
      </w:r>
      <w:r>
        <w:br/>
      </w:r>
      <w:r>
        <w:rPr>
          <w:rStyle w:val="VerbatimChar"/>
        </w:rPr>
        <w:t xml:space="preserve">y     = tan(eps/2)^2</w:t>
      </w:r>
      <w:r>
        <w:br/>
      </w:r>
      <w:r>
        <w:rPr>
          <w:rStyle w:val="VerbatimChar"/>
        </w:rPr>
        <w:t xml:space="preserve">EoT   = 4*deg( y*sin(2*L0) - 2*ecc*sin(M) + 4*ecc*y*sin(M)*cos(2*L0)</w:t>
      </w:r>
      <w:r>
        <w:br/>
      </w:r>
      <w:r>
        <w:rPr>
          <w:rStyle w:val="VerbatimChar"/>
        </w:rPr>
        <w:t xml:space="preserve">               - 0.5*y^2*sin(4*L0) - 1.25*ecc^2*sin(2*M) )        # minutes</w:t>
      </w:r>
      <w:r>
        <w:br/>
      </w:r>
      <w:r>
        <w:rPr>
          <w:rStyle w:val="VerbatimChar"/>
        </w:rPr>
        <w:t xml:space="preserve">TST   = mod( minutes_of_utc_day + EoT + 4*L, 1440 )</w:t>
      </w:r>
      <w:r>
        <w:br/>
      </w:r>
      <w:r>
        <w:rPr>
          <w:rStyle w:val="VerbatimChar"/>
        </w:rPr>
        <w:t xml:space="preserve">HA    = TST/4 - 180;  if HA &lt; -180 then HA = HA + 360</w:t>
      </w:r>
      <w:r>
        <w:br/>
      </w:r>
      <w:r>
        <w:rPr>
          <w:rStyle w:val="VerbatimChar"/>
        </w:rPr>
        <w:t xml:space="preserve">cosZ  = sin(phi)*sin(decl) + cos(phi)*cos(decl)*cos(HA)</w:t>
      </w:r>
      <w:r>
        <w:br/>
      </w:r>
      <w:r>
        <w:rPr>
          <w:rStyle w:val="VerbatimChar"/>
        </w:rPr>
        <w:t xml:space="preserve">elev  = 90 - deg(acos(clamp(cosZ, -1, 1)))</w:t>
      </w:r>
      <w:r>
        <w:br/>
      </w:r>
      <w:r>
        <w:rPr>
          <w:rStyle w:val="VerbatimChar"/>
        </w:rPr>
        <w:t xml:space="preserve">Z     = deg(acos(clamp(cosZ, -1, 1)))                              # zenith</w:t>
      </w:r>
      <w:r>
        <w:br/>
      </w:r>
      <w:r>
        <w:rPr>
          <w:rStyle w:val="VerbatimChar"/>
        </w:rPr>
        <w:t xml:space="preserve">acosA = deg(acos(clamp( (sin(phi)*cosZ - sin(decl)) / (cos(phi)*sin(Z)), -1, 1)))</w:t>
      </w:r>
      <w:r>
        <w:br/>
      </w:r>
      <w:r>
        <w:rPr>
          <w:rStyle w:val="VerbatimChar"/>
        </w:rPr>
        <w:t xml:space="preserve">azim  = mod(acosA + 180, 360) if HA &gt; 0 else mod(540 - acosA, 360)</w:t>
      </w:r>
      <w:r>
        <w:br/>
      </w:r>
      <w:r>
        <w:rPr>
          <w:rStyle w:val="VerbatimChar"/>
        </w:rPr>
        <w:t xml:space="preserve">arg   = cos(90.833)/(cos(phi)*cos(decl)) - tan(phi)*tan(decl)</w:t>
      </w:r>
      <w:r>
        <w:br/>
      </w:r>
      <w:r>
        <w:rPr>
          <w:rStyle w:val="VerbatimChar"/>
        </w:rPr>
        <w:t xml:space="preserve">HA0   = deg(acos(arg)) if -1 &lt;= arg &lt;= 1 else undefined (polar case)</w:t>
      </w:r>
      <w:r>
        <w:br/>
      </w:r>
      <w:r>
        <w:rPr>
          <w:rStyle w:val="VerbatimChar"/>
        </w:rPr>
        <w:t xml:space="preserve">noonU = 720 - 4*L - EoT                                            # minutes UTC</w:t>
      </w:r>
      <w:r>
        <w:br/>
      </w:r>
      <w:r>
        <w:rPr>
          <w:rStyle w:val="VerbatimChar"/>
        </w:rPr>
        <w:t xml:space="preserve">sunriseU = noonU - 4*HA0 ;  sunsetU = noonU + 4*HA0</w:t>
      </w:r>
    </w:p>
    <w:p>
      <w:pPr>
        <w:pStyle w:val="FirstParagraph"/>
      </w:pPr>
      <w:r>
        <w:t xml:space="preserve">When HA0 is undefined the polar rules of Section 6.4 apply. Known-answer vectors: Appendix A.6.</w:t>
      </w:r>
    </w:p>
    <w:bookmarkEnd w:id="123"/>
    <w:bookmarkStart w:id="124" w:name="references"/>
    <w:p>
      <w:pPr>
        <w:pStyle w:val="Heading1"/>
      </w:pPr>
      <w:r>
        <w:t xml:space="preserve">References</w:t>
      </w:r>
    </w:p>
    <w:p>
      <w:pPr>
        <w:numPr>
          <w:ilvl w:val="0"/>
          <w:numId w:val="1040"/>
        </w:numPr>
        <w:pStyle w:val="Compact"/>
      </w:pPr>
      <w:r>
        <w:t xml:space="preserve">Andreasen, A.R. (1995).</w:t>
      </w:r>
      <w:r>
        <w:t xml:space="preserve"> </w:t>
      </w:r>
      <w:r>
        <w:rPr>
          <w:iCs/>
          <w:i/>
        </w:rPr>
        <w:t xml:space="preserve">Marketing Social Change</w:t>
      </w:r>
      <w:r>
        <w:t xml:space="preserve">. Jossey-Bass.</w:t>
      </w:r>
    </w:p>
    <w:p>
      <w:pPr>
        <w:numPr>
          <w:ilvl w:val="0"/>
          <w:numId w:val="1040"/>
        </w:numPr>
        <w:pStyle w:val="Compact"/>
      </w:pPr>
      <w:r>
        <w:t xml:space="preserve">Box, G.E.P. and Muller, M.E. (1958). A note on the generation of random normal deviates.</w:t>
      </w:r>
      <w:r>
        <w:t xml:space="preserve"> </w:t>
      </w:r>
      <w:r>
        <w:rPr>
          <w:iCs/>
          <w:i/>
        </w:rPr>
        <w:t xml:space="preserve">Annals of Mathematical Statistics</w:t>
      </w:r>
      <w:r>
        <w:t xml:space="preserve">, 29(2), 610-611.</w:t>
      </w:r>
    </w:p>
    <w:p>
      <w:pPr>
        <w:numPr>
          <w:ilvl w:val="0"/>
          <w:numId w:val="1040"/>
        </w:numPr>
        <w:pStyle w:val="Compact"/>
      </w:pPr>
      <w:r>
        <w:t xml:space="preserve">Bröde, P. et al. (2012). Deriving the operational procedure for the Universal Thermal Climate Index.</w:t>
      </w:r>
      <w:r>
        <w:t xml:space="preserve"> </w:t>
      </w:r>
      <w:r>
        <w:rPr>
          <w:iCs/>
          <w:i/>
        </w:rPr>
        <w:t xml:space="preserve">International Journal of Biometeorology</w:t>
      </w:r>
      <w:r>
        <w:t xml:space="preserve">, 56(3), 481-494.</w:t>
      </w:r>
    </w:p>
    <w:p>
      <w:pPr>
        <w:numPr>
          <w:ilvl w:val="0"/>
          <w:numId w:val="1040"/>
        </w:numPr>
        <w:pStyle w:val="Compact"/>
      </w:pPr>
      <w:r>
        <w:t xml:space="preserve">Brown, E.N. et al. (2002). The time-rescaling theorem and its application to neural spike train data analysis.</w:t>
      </w:r>
      <w:r>
        <w:t xml:space="preserve"> </w:t>
      </w:r>
      <w:r>
        <w:rPr>
          <w:iCs/>
          <w:i/>
        </w:rPr>
        <w:t xml:space="preserve">Neural Computation</w:t>
      </w:r>
      <w:r>
        <w:t xml:space="preserve">, 14(2), 325-346.</w:t>
      </w:r>
    </w:p>
    <w:p>
      <w:pPr>
        <w:numPr>
          <w:ilvl w:val="0"/>
          <w:numId w:val="1040"/>
        </w:numPr>
        <w:pStyle w:val="Compact"/>
      </w:pPr>
      <w:r>
        <w:t xml:space="preserve">Fischer, W. and Meier-Hellstern, K. (1993). The Markov-modulated Poisson process cookbook.</w:t>
      </w:r>
      <w:r>
        <w:t xml:space="preserve"> </w:t>
      </w:r>
      <w:r>
        <w:rPr>
          <w:iCs/>
          <w:i/>
        </w:rPr>
        <w:t xml:space="preserve">Performance Evaluation</w:t>
      </w:r>
      <w:r>
        <w:t xml:space="preserve">, 18(2), 149-171.</w:t>
      </w:r>
    </w:p>
    <w:p>
      <w:pPr>
        <w:numPr>
          <w:ilvl w:val="0"/>
          <w:numId w:val="1040"/>
        </w:numPr>
        <w:pStyle w:val="Compact"/>
      </w:pPr>
      <w:r>
        <w:t xml:space="preserve">Holm, S. (1979). A simple sequentially rejective multiple test procedure.</w:t>
      </w:r>
      <w:r>
        <w:t xml:space="preserve"> </w:t>
      </w:r>
      <w:r>
        <w:rPr>
          <w:iCs/>
          <w:i/>
        </w:rPr>
        <w:t xml:space="preserve">Scandinavian Journal of Statistics</w:t>
      </w:r>
      <w:r>
        <w:t xml:space="preserve">, 6(2), 65-70.</w:t>
      </w:r>
    </w:p>
    <w:p>
      <w:pPr>
        <w:numPr>
          <w:ilvl w:val="0"/>
          <w:numId w:val="1040"/>
        </w:numPr>
        <w:pStyle w:val="Compact"/>
      </w:pPr>
      <w:r>
        <w:t xml:space="preserve">Hörmann, W. (1993). The transformed rejection method for generating Poisson random variables.</w:t>
      </w:r>
      <w:r>
        <w:t xml:space="preserve"> </w:t>
      </w:r>
      <w:r>
        <w:rPr>
          <w:iCs/>
          <w:i/>
        </w:rPr>
        <w:t xml:space="preserve">Insurance: Mathematics and Economics</w:t>
      </w:r>
      <w:r>
        <w:t xml:space="preserve">, 12(1), 39-45.</w:t>
      </w:r>
    </w:p>
    <w:p>
      <w:pPr>
        <w:numPr>
          <w:ilvl w:val="0"/>
          <w:numId w:val="1040"/>
        </w:numPr>
        <w:pStyle w:val="Compact"/>
      </w:pPr>
      <w:r>
        <w:t xml:space="preserve">ISO 1996-1:2016.</w:t>
      </w:r>
      <w:r>
        <w:t xml:space="preserve"> </w:t>
      </w:r>
      <w:r>
        <w:rPr>
          <w:iCs/>
          <w:i/>
        </w:rPr>
        <w:t xml:space="preserve">Acoustics - Description, measurement and assessment of environmental noise - Part 1</w:t>
      </w:r>
      <w:r>
        <w:t xml:space="preserve">.</w:t>
      </w:r>
    </w:p>
    <w:p>
      <w:pPr>
        <w:numPr>
          <w:ilvl w:val="0"/>
          <w:numId w:val="1040"/>
        </w:numPr>
        <w:pStyle w:val="Compact"/>
      </w:pPr>
      <w:r>
        <w:t xml:space="preserve">ISO 7243:2017.</w:t>
      </w:r>
      <w:r>
        <w:t xml:space="preserve"> </w:t>
      </w:r>
      <w:r>
        <w:rPr>
          <w:iCs/>
          <w:i/>
        </w:rPr>
        <w:t xml:space="preserve">Ergonomics of the thermal environment - Assessment of heat stress using the WBGT index</w:t>
      </w:r>
      <w:r>
        <w:t xml:space="preserve">.</w:t>
      </w:r>
    </w:p>
    <w:p>
      <w:pPr>
        <w:numPr>
          <w:ilvl w:val="0"/>
          <w:numId w:val="1040"/>
        </w:numPr>
        <w:pStyle w:val="Compact"/>
      </w:pPr>
      <w:r>
        <w:t xml:space="preserve">Jendritzky, G., de Dear, R. and Havenith, G. (2012). UTCI - Why another thermal index?</w:t>
      </w:r>
      <w:r>
        <w:t xml:space="preserve"> </w:t>
      </w:r>
      <w:r>
        <w:rPr>
          <w:iCs/>
          <w:i/>
        </w:rPr>
        <w:t xml:space="preserve">International Journal of Biometeorology</w:t>
      </w:r>
      <w:r>
        <w:t xml:space="preserve">, 56(3), 421-428.</w:t>
      </w:r>
    </w:p>
    <w:p>
      <w:pPr>
        <w:numPr>
          <w:ilvl w:val="0"/>
          <w:numId w:val="1040"/>
        </w:numPr>
        <w:pStyle w:val="Compact"/>
      </w:pPr>
      <w:r>
        <w:t xml:space="preserve">Kasten, F. and Czeplak, G. (1980). Solar and terrestrial radiation dependent on the amount and type of cloud.</w:t>
      </w:r>
      <w:r>
        <w:t xml:space="preserve"> </w:t>
      </w:r>
      <w:r>
        <w:rPr>
          <w:iCs/>
          <w:i/>
        </w:rPr>
        <w:t xml:space="preserve">Solar Energy</w:t>
      </w:r>
      <w:r>
        <w:t xml:space="preserve">, 24(2), 177-189.</w:t>
      </w:r>
    </w:p>
    <w:p>
      <w:pPr>
        <w:numPr>
          <w:ilvl w:val="0"/>
          <w:numId w:val="1040"/>
        </w:numPr>
        <w:pStyle w:val="Compact"/>
      </w:pPr>
      <w:r>
        <w:t xml:space="preserve">Kolmogorov, A. (1933). Sulla determinazione empirica di una legge di distribuzione.</w:t>
      </w:r>
      <w:r>
        <w:t xml:space="preserve"> </w:t>
      </w:r>
      <w:r>
        <w:rPr>
          <w:iCs/>
          <w:i/>
        </w:rPr>
        <w:t xml:space="preserve">Giornale dell’Istituto Italiano degli Attuari</w:t>
      </w:r>
      <w:r>
        <w:t xml:space="preserve">, 4, 83-91.</w:t>
      </w:r>
    </w:p>
    <w:p>
      <w:pPr>
        <w:numPr>
          <w:ilvl w:val="0"/>
          <w:numId w:val="1040"/>
        </w:numPr>
        <w:pStyle w:val="Compact"/>
      </w:pPr>
      <w:r>
        <w:t xml:space="preserve">Kotler, P. and Zaltman, G. (1971). Social marketing: an approach to planned social change.</w:t>
      </w:r>
      <w:r>
        <w:t xml:space="preserve"> </w:t>
      </w:r>
      <w:r>
        <w:rPr>
          <w:iCs/>
          <w:i/>
        </w:rPr>
        <w:t xml:space="preserve">Journal of Marketing</w:t>
      </w:r>
      <w:r>
        <w:t xml:space="preserve">, 35(3), 3-12.</w:t>
      </w:r>
    </w:p>
    <w:p>
      <w:pPr>
        <w:numPr>
          <w:ilvl w:val="0"/>
          <w:numId w:val="1040"/>
        </w:numPr>
        <w:pStyle w:val="Compact"/>
      </w:pPr>
      <w:r>
        <w:t xml:space="preserve">Lewis, P.A.W. and Shedler, G.S. (1979). Simulation of nonhomogeneous Poisson processes by thinning.</w:t>
      </w:r>
      <w:r>
        <w:t xml:space="preserve"> </w:t>
      </w:r>
      <w:r>
        <w:rPr>
          <w:iCs/>
          <w:i/>
        </w:rPr>
        <w:t xml:space="preserve">Naval Research Logistics Quarterly</w:t>
      </w:r>
      <w:r>
        <w:t xml:space="preserve">, 26(3), 403-413.</w:t>
      </w:r>
    </w:p>
    <w:p>
      <w:pPr>
        <w:numPr>
          <w:ilvl w:val="0"/>
          <w:numId w:val="1040"/>
        </w:numPr>
        <w:pStyle w:val="Compact"/>
      </w:pPr>
      <w:r>
        <w:t xml:space="preserve">Liljegren, J.C. et al. (2008). Modeling the wet bulb globe temperature using standard meteorological measurements.</w:t>
      </w:r>
      <w:r>
        <w:t xml:space="preserve"> </w:t>
      </w:r>
      <w:r>
        <w:rPr>
          <w:iCs/>
          <w:i/>
        </w:rPr>
        <w:t xml:space="preserve">Journal of Occupational and Environmental Hygiene</w:t>
      </w:r>
      <w:r>
        <w:t xml:space="preserve">, 5(10), 645-655.</w:t>
      </w:r>
    </w:p>
    <w:p>
      <w:pPr>
        <w:numPr>
          <w:ilvl w:val="0"/>
          <w:numId w:val="1040"/>
        </w:numPr>
        <w:pStyle w:val="Compact"/>
      </w:pPr>
      <w:r>
        <w:t xml:space="preserve">Marsaglia, G. and Tsang, W.W. (2000). A simple method for generating gamma variables.</w:t>
      </w:r>
      <w:r>
        <w:t xml:space="preserve"> </w:t>
      </w:r>
      <w:r>
        <w:rPr>
          <w:iCs/>
          <w:i/>
        </w:rPr>
        <w:t xml:space="preserve">ACM Transactions on Mathematical Software</w:t>
      </w:r>
      <w:r>
        <w:t xml:space="preserve">, 26(3), 363-372.</w:t>
      </w:r>
    </w:p>
    <w:p>
      <w:pPr>
        <w:numPr>
          <w:ilvl w:val="0"/>
          <w:numId w:val="1040"/>
        </w:numPr>
        <w:pStyle w:val="Compact"/>
      </w:pPr>
      <w:r>
        <w:t xml:space="preserve">Matsumoto, M. and Nishimura, T. (1998). Mersenne twister: a 623-dimensionally equidistributed uniform pseudo-random number generator.</w:t>
      </w:r>
      <w:r>
        <w:t xml:space="preserve"> </w:t>
      </w:r>
      <w:r>
        <w:rPr>
          <w:iCs/>
          <w:i/>
        </w:rPr>
        <w:t xml:space="preserve">ACM Transactions on Modeling and Computer Simulation</w:t>
      </w:r>
      <w:r>
        <w:t xml:space="preserve">, 8(1), 3-30.</w:t>
      </w:r>
    </w:p>
    <w:p>
      <w:pPr>
        <w:numPr>
          <w:ilvl w:val="0"/>
          <w:numId w:val="1040"/>
        </w:numPr>
        <w:pStyle w:val="Compact"/>
      </w:pPr>
      <w:r>
        <w:t xml:space="preserve">Meeus, J. (1998).</w:t>
      </w:r>
      <w:r>
        <w:t xml:space="preserve"> </w:t>
      </w:r>
      <w:r>
        <w:rPr>
          <w:iCs/>
          <w:i/>
        </w:rPr>
        <w:t xml:space="preserve">Astronomical Algorithms</w:t>
      </w:r>
      <w:r>
        <w:t xml:space="preserve"> </w:t>
      </w:r>
      <w:r>
        <w:t xml:space="preserve">(2nd ed.). Willmann-Bell.</w:t>
      </w:r>
    </w:p>
    <w:p>
      <w:pPr>
        <w:numPr>
          <w:ilvl w:val="0"/>
          <w:numId w:val="1040"/>
        </w:numPr>
        <w:pStyle w:val="Compact"/>
      </w:pPr>
      <w:r>
        <w:t xml:space="preserve">Oke, T.R. (1982). The energetic basis of the urban heat island.</w:t>
      </w:r>
      <w:r>
        <w:t xml:space="preserve"> </w:t>
      </w:r>
      <w:r>
        <w:rPr>
          <w:iCs/>
          <w:i/>
        </w:rPr>
        <w:t xml:space="preserve">Quarterly Journal of the Royal Meteorological Society</w:t>
      </w:r>
      <w:r>
        <w:t xml:space="preserve">, 108(455), 1-24.</w:t>
      </w:r>
    </w:p>
    <w:p>
      <w:pPr>
        <w:numPr>
          <w:ilvl w:val="0"/>
          <w:numId w:val="1040"/>
        </w:numPr>
        <w:pStyle w:val="Compact"/>
      </w:pPr>
      <w:r>
        <w:t xml:space="preserve">Ott, W.R. (1990). A physical explanation of the lognormality of pollutant concentrations.</w:t>
      </w:r>
      <w:r>
        <w:t xml:space="preserve"> </w:t>
      </w:r>
      <w:r>
        <w:rPr>
          <w:iCs/>
          <w:i/>
        </w:rPr>
        <w:t xml:space="preserve">Journal of the Air and Waste Management Association</w:t>
      </w:r>
      <w:r>
        <w:t xml:space="preserve">, 40(10), 1378-1383.</w:t>
      </w:r>
    </w:p>
    <w:p>
      <w:pPr>
        <w:numPr>
          <w:ilvl w:val="0"/>
          <w:numId w:val="1040"/>
        </w:numPr>
        <w:pStyle w:val="Compact"/>
      </w:pPr>
      <w:r>
        <w:t xml:space="preserve">Rundgren, A., Jordan, B. and Erdtman, S. (2020).</w:t>
      </w:r>
      <w:r>
        <w:t xml:space="preserve"> </w:t>
      </w:r>
      <w:r>
        <w:rPr>
          <w:iCs/>
          <w:i/>
        </w:rPr>
        <w:t xml:space="preserve">JSON Canonicalization Scheme (JCS)</w:t>
      </w:r>
      <w:r>
        <w:t xml:space="preserve">. RFC 8785.</w:t>
      </w:r>
    </w:p>
    <w:p>
      <w:pPr>
        <w:numPr>
          <w:ilvl w:val="0"/>
          <w:numId w:val="1040"/>
        </w:numPr>
        <w:pStyle w:val="Compact"/>
      </w:pPr>
      <w:r>
        <w:t xml:space="preserve">Sonntag, D. (1990). Important new values of the physical constants of 1986, vapour pressure formulations based on the ITS-90, and psychrometer formulae.</w:t>
      </w:r>
      <w:r>
        <w:t xml:space="preserve"> </w:t>
      </w:r>
      <w:r>
        <w:rPr>
          <w:iCs/>
          <w:i/>
        </w:rPr>
        <w:t xml:space="preserve">Zeitschrift für Meteorologie</w:t>
      </w:r>
      <w:r>
        <w:t xml:space="preserve">, 40(5), 340-344.</w:t>
      </w:r>
    </w:p>
    <w:p>
      <w:pPr>
        <w:numPr>
          <w:ilvl w:val="0"/>
          <w:numId w:val="1040"/>
        </w:numPr>
        <w:pStyle w:val="Compact"/>
      </w:pPr>
      <w:r>
        <w:t xml:space="preserve">Tetens, O. (1930). Über einige meteorologische Begriffe.</w:t>
      </w:r>
      <w:r>
        <w:t xml:space="preserve"> </w:t>
      </w:r>
      <w:r>
        <w:rPr>
          <w:iCs/>
          <w:i/>
        </w:rPr>
        <w:t xml:space="preserve">Zeitschrift für Geophysik</w:t>
      </w:r>
      <w:r>
        <w:t xml:space="preserve">, 6, 297-309.</w:t>
      </w:r>
    </w:p>
    <w:p>
      <w:pPr>
        <w:numPr>
          <w:ilvl w:val="0"/>
          <w:numId w:val="1040"/>
        </w:numPr>
        <w:pStyle w:val="Compact"/>
      </w:pPr>
      <w:r>
        <w:t xml:space="preserve">World Health Organization (2021).</w:t>
      </w:r>
      <w:r>
        <w:t xml:space="preserve"> </w:t>
      </w:r>
      <w:r>
        <w:rPr>
          <w:iCs/>
          <w:i/>
        </w:rPr>
        <w:t xml:space="preserve">WHO Global Air Quality Guidelines</w:t>
      </w:r>
      <w:r>
        <w:t xml:space="preserve">.</w:t>
      </w:r>
    </w:p>
    <w:p>
      <w:pPr>
        <w:numPr>
          <w:ilvl w:val="0"/>
          <w:numId w:val="1040"/>
        </w:numPr>
        <w:pStyle w:val="Compact"/>
      </w:pPr>
      <w:r>
        <w:t xml:space="preserve">World Meteorological Organization (2018).</w:t>
      </w:r>
      <w:r>
        <w:t xml:space="preserve"> </w:t>
      </w:r>
      <w:r>
        <w:rPr>
          <w:iCs/>
          <w:i/>
        </w:rPr>
        <w:t xml:space="preserve">Guide to Instruments and Methods of Observation</w:t>
      </w:r>
      <w:r>
        <w:t xml:space="preserve"> </w:t>
      </w:r>
      <w:r>
        <w:t xml:space="preserve">(WMO-No. 8).</w:t>
      </w:r>
    </w:p>
    <w:p>
      <w:r>
        <w:pict>
          <v:rect style="width:0;height:1.5pt" o:hralign="center" o:hrstd="t" o:hr="t"/>
        </w:pict>
      </w:r>
    </w:p>
    <w:p>
      <w:pPr>
        <w:pStyle w:val="FirstParagraph"/>
      </w:pPr>
      <w:r>
        <w:rPr>
          <w:bCs/>
          <w:b/>
        </w:rPr>
        <w:t xml:space="preserve">IoTSyn v4.4.0-RC1 - Smart City &amp; Public Spaces Edition</w:t>
      </w:r>
      <w:r>
        <w:br/>
      </w:r>
      <w:r>
        <w:rPr>
          <w:bCs/>
          <w:b/>
        </w:rPr>
        <w:t xml:space="preserve">Methodology and Normative Implementation Specification</w:t>
      </w:r>
      <w:r>
        <w:br/>
      </w:r>
      <w:r>
        <w:rPr>
          <w:bCs/>
          <w:b/>
        </w:rPr>
        <w:t xml:space="preserve">Release Candidate 1 - 2026-07-04</w:t>
      </w:r>
    </w:p>
    <w:bookmarkEnd w:id="124"/>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411">
    <w:nsid w:val="A99411"/>
    <w:multiLevelType w:val="multilevel"/>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abstractNum w:abstractNumId="991">
    <w:nsid w:val="A991"/>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num w:numId="1000">
    <w:abstractNumId w:val="990"/>
  </w:num>
  <w:num w:numId="100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3">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4">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5">
    <w:abstractNumId w:val="991"/>
  </w:num>
  <w:num w:numId="1006">
    <w:abstractNumId w:val="991"/>
  </w:num>
  <w:num w:numId="1007">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8">
    <w:abstractNumId w:val="991"/>
  </w:num>
  <w:num w:numId="1009">
    <w:abstractNumId w:val="991"/>
  </w:num>
  <w:num w:numId="1010">
    <w:abstractNumId w:val="991"/>
  </w:num>
  <w:num w:numId="101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2">
    <w:abstractNumId w:val="991"/>
  </w:num>
  <w:num w:numId="1013">
    <w:abstractNumId w:val="991"/>
  </w:num>
  <w:num w:numId="1014">
    <w:abstractNumId w:val="991"/>
  </w:num>
  <w:num w:numId="1015">
    <w:abstractNumId w:val="991"/>
  </w:num>
  <w:num w:numId="1016">
    <w:abstractNumId w:val="991"/>
  </w:num>
  <w:num w:numId="1017">
    <w:abstractNumId w:val="991"/>
  </w:num>
  <w:num w:numId="1018">
    <w:abstractNumId w:val="991"/>
  </w:num>
  <w:num w:numId="1019">
    <w:abstractNumId w:val="991"/>
  </w:num>
  <w:num w:numId="1020">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1">
    <w:abstractNumId w:val="991"/>
  </w:num>
  <w:num w:numId="1022">
    <w:abstractNumId w:val="991"/>
  </w:num>
  <w:num w:numId="1023">
    <w:abstractNumId w:val="991"/>
  </w:num>
  <w:num w:numId="1024">
    <w:abstractNumId w:val="991"/>
  </w:num>
  <w:num w:numId="1025">
    <w:abstractNumId w:val="991"/>
  </w:num>
  <w:num w:numId="1026">
    <w:abstractNumId w:val="991"/>
  </w:num>
  <w:num w:numId="1027">
    <w:abstractNumId w:val="991"/>
  </w:num>
  <w:num w:numId="1028">
    <w:abstractNumId w:val="991"/>
  </w:num>
  <w:num w:numId="1029">
    <w:abstractNumId w:val="991"/>
  </w:num>
  <w:num w:numId="1030">
    <w:abstractNumId w:val="991"/>
  </w:num>
  <w:num w:numId="1031">
    <w:abstractNumId w:val="991"/>
  </w:num>
  <w:num w:numId="1032">
    <w:abstractNumId w:val="991"/>
  </w:num>
  <w:num w:numId="1033">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4">
    <w:abstractNumId w:val="991"/>
  </w:num>
  <w:num w:numId="1035">
    <w:abstractNumId w:val="991"/>
  </w:num>
  <w:num w:numId="1036">
    <w:abstractNumId w:val="991"/>
  </w:num>
  <w:num w:numId="1037">
    <w:abstractNumId w:val="991"/>
  </w:num>
  <w:num w:numId="1038">
    <w:abstractNumId w:val="991"/>
  </w:num>
  <w:num w:numId="1039">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0">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stylePaneFormatFilter w:val="0004"/>
  <w:footnotePr>
    <w:footnote w:id="-1"/>
    <w:footnote w:id="0"/>
  </w:footnotePr>
  <w:rsids>
  </w:rsids>
  <w:clrSchemeMapping w:accent1="accent1" w:accent2="accent2" w:accent3="accent3" w:accent4="accent4" w:accent5="accent5" w:accent6="accent6" w:bg1="light1" w:bg2="light2" w:followedHyperlink="followedHyperlink" w:hyperlink="hyperlink" w:t1="dark1" w:t2="dark2"/>
  <w:zoom w:percent="100"/>
  <w:embedSystemFonts/>
  <w:proofState w:grammar="clean" w:spelling="clean"/>
  <w:doNotTrackMoves/>
  <w:defaultTabStop w:val="720"/>
  <w:drawingGridHorizontalSpacing w:val="360"/>
  <w:drawingGridVerticalSpacing w:val="360"/>
  <w:displayHorizontalDrawingGridEvery w:val="0"/>
  <w:displayVerticalDrawingGridEvery w:val="0"/>
  <w:characterSpacingControl w:val="doNotCompress"/>
  <w:savePreviewPicture/>
  <m:mathPr>
    <m:mathFont m:val="Cambria Math"/>
    <m:brkBin m:val="before"/>
    <m:brkBinSub m:val="--"/>
    <m:smallFrac m:val="0"/>
    <m:dispDef/>
    <m:lMargin m:val="0"/>
    <m:rMargin m:val="0"/>
    <m:wrapRight/>
    <m:intLim m:val="subSup"/>
    <m:naryLim m:val="undOvr"/>
  </m:mathPr>
  <w:themeFontLang w:val="en-U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HAnsi" w:hAnsiTheme="minorHAnsi"/>
        <w:sz w:val="24"/>
        <w:szCs w:val="24"/>
        <w:lang w:bidi="ar-SA" w:eastAsia="en-US"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pPr>
      <w:spacing w:after="180" w:before="180"/>
    </w:pPr>
    <w:qFormat/>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qFormat/>
    <w:pPr>
      <w:keepNext/>
      <w:keepLines/>
      <w:spacing w:after="240" w:before="480"/>
      <w:jc w:val="center"/>
    </w:pPr>
    <w:rPr>
      <w:rFonts w:asciiTheme="majorHAnsi" w:cstheme="majorBidi" w:eastAsiaTheme="majorEastAsia" w:hAnsiTheme="majorHAnsi"/>
      <w:b/>
      <w:bCs/>
      <w:color w:themeColor="accent1" w:themeShade="B5" w:val="345A8A"/>
      <w:sz w:val="36"/>
      <w:szCs w:val="36"/>
    </w:rPr>
  </w:style>
  <w:style w:styleId="Subtitle" w:type="paragraph">
    <w:name w:val="Subtitle"/>
    <w:basedOn w:val="Title"/>
    <w:next w:val="BodyText"/>
    <w:qFormat/>
    <w:pPr>
      <w:keepNext/>
      <w:keepLines/>
      <w:spacing w:after="240" w:before="240"/>
      <w:jc w:val="center"/>
    </w:pPr>
    <w:rPr>
      <w:sz w:val="30"/>
      <w:szCs w:val="30"/>
    </w:rPr>
  </w:style>
  <w:style w:customStyle="1" w:styleId="Author" w:type="paragraph">
    <w:name w:val="Author"/>
    <w:next w:val="BodyText"/>
    <w:qFormat/>
    <w:pPr>
      <w:keepNext/>
      <w:keepLines/>
      <w:jc w:val="center"/>
    </w:pPr>
  </w:style>
  <w:style w:styleId="Date" w:type="paragraph">
    <w:name w:val="Date"/>
    <w:next w:val="BodyText"/>
    <w:qFormat/>
    <w:pPr>
      <w:keepNext/>
      <w:keepLines/>
      <w:jc w:val="center"/>
    </w:pPr>
  </w:style>
  <w:style w:customStyle="1" w:styleId="AbstractTitle" w:type="paragraph">
    <w:name w:val="Abstract Title"/>
    <w:basedOn w:val="Normal"/>
    <w:next w:val="Abstract"/>
    <w:qFormat/>
    <w:pPr>
      <w:keepNext/>
      <w:keepLines/>
      <w:jc w:val="center"/>
      <w:spacing w:after="0" w:before="300"/>
    </w:pPr>
    <w:rPr>
      <w:sz w:val="20"/>
      <w:szCs w:val="20"/>
      <w:b/>
      <w:color w:val="345A8A"/>
      &gt;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uiPriority w:val="9"/>
    <w:qFormat/>
    <w:pPr>
      <w:keepNext/>
      <w:keepLines/>
      <w:spacing w:after="0" w:before="480"/>
      <w:outlineLvl w:val="0"/>
    </w:pPr>
    <w:rPr>
      <w:rFonts w:asciiTheme="majorHAnsi" w:cstheme="majorBidi" w:eastAsiaTheme="majorEastAsia" w:hAnsiTheme="majorHAnsi"/>
      <w:b/>
      <w:bCs/>
      <w:color w:themeColor="accent1" w:val="4F81BD"/>
      <w:sz w:val="32"/>
      <w:szCs w:val="32"/>
    </w:rPr>
  </w:style>
  <w:style w:styleId="Heading2" w:type="paragraph">
    <w:name w:val="Heading 2"/>
    <w:basedOn w:val="Normal"/>
    <w:next w:val="BodyText"/>
    <w:uiPriority w:val="9"/>
    <w:unhideWhenUsed/>
    <w:qFormat/>
    <w:pPr>
      <w:keepNext/>
      <w:keepLines/>
      <w:spacing w:after="0" w:before="200"/>
      <w:outlineLvl w:val="1"/>
    </w:pPr>
    <w:rPr>
      <w:rFonts w:asciiTheme="majorHAnsi" w:cstheme="majorBidi" w:eastAsiaTheme="majorEastAsia" w:hAnsiTheme="majorHAnsi"/>
      <w:b/>
      <w:bCs/>
      <w:color w:themeColor="accent1" w:val="4F81BD"/>
      <w:sz w:val="28"/>
      <w:szCs w:val="28"/>
    </w:rPr>
  </w:style>
  <w:style w:styleId="Heading3" w:type="paragraph">
    <w:name w:val="Heading 3"/>
    <w:basedOn w:val="Normal"/>
    <w:next w:val="BodyText"/>
    <w:uiPriority w:val="9"/>
    <w:unhideWhenUsed/>
    <w:qFormat/>
    <w:pPr>
      <w:keepNext/>
      <w:keepLines/>
      <w:spacing w:after="0" w:before="200"/>
      <w:outlineLvl w:val="2"/>
    </w:pPr>
    <w:rPr>
      <w:rFonts w:asciiTheme="majorHAnsi" w:cstheme="majorBidi" w:eastAsiaTheme="majorEastAsia" w:hAnsiTheme="majorHAnsi"/>
      <w:b/>
      <w:bCs/>
      <w:color w:themeColor="accent1" w:val="4F81BD"/>
      <w:sz w:val="24"/>
      <w:szCs w:val="24"/>
    </w:rPr>
  </w:style>
  <w:style w:styleId="Heading4" w:type="paragraph">
    <w:name w:val="Heading 4"/>
    <w:basedOn w:val="Normal"/>
    <w:next w:val="BodyText"/>
    <w:uiPriority w:val="9"/>
    <w:unhideWhenUsed/>
    <w:qFormat/>
    <w:pPr>
      <w:keepNext/>
      <w:keepLines/>
      <w:spacing w:after="0" w:before="200"/>
      <w:outlineLvl w:val="3"/>
    </w:pPr>
    <w:rPr>
      <w:rFonts w:asciiTheme="majorHAnsi" w:cstheme="majorBidi" w:eastAsiaTheme="majorEastAsia" w:hAnsiTheme="majorHAnsi"/>
      <w:i/>
      <w:bCs/>
      <w:color w:themeColor="accent1" w:val="4F81BD"/>
      <w:sz w:val="24"/>
      <w:szCs w:val="24"/>
    </w:rPr>
  </w:style>
  <w:style w:styleId="Heading5" w:type="paragraph">
    <w:name w:val="Heading 5"/>
    <w:basedOn w:val="Normal"/>
    <w:next w:val="BodyText"/>
    <w:uiPriority w:val="9"/>
    <w:unhideWhenUsed/>
    <w:qFormat/>
    <w:pPr>
      <w:keepNext/>
      <w:keepLines/>
      <w:spacing w:after="0" w:before="200"/>
      <w:outlineLvl w:val="4"/>
    </w:pPr>
    <w:rPr>
      <w:rFonts w:asciiTheme="majorHAnsi" w:cstheme="majorBidi" w:eastAsiaTheme="majorEastAsia" w:hAnsiTheme="majorHAnsi"/>
      <w:iCs/>
      <w:color w:themeColor="accent1" w:val="4F81BD"/>
      <w:sz w:val="24"/>
      <w:szCs w:val="24"/>
    </w:rPr>
  </w:style>
  <w:style w:styleId="Heading6" w:type="paragraph">
    <w:name w:val="Heading 6"/>
    <w:basedOn w:val="Normal"/>
    <w:next w:val="BodyText"/>
    <w:uiPriority w:val="9"/>
    <w:unhideWhenUsed/>
    <w:qFormat/>
    <w:pPr>
      <w:keepNext/>
      <w:keepLines/>
      <w:spacing w:after="0" w:before="200"/>
      <w:outlineLvl w:val="5"/>
    </w:pPr>
    <w:rPr>
      <w:rFonts w:asciiTheme="majorHAnsi" w:cstheme="majorBidi" w:eastAsiaTheme="majorEastAsia" w:hAnsiTheme="majorHAnsi"/>
      <w:color w:themeColor="accent1" w:val="4F81BD"/>
      <w:sz w:val="24"/>
      <w:szCs w:val="24"/>
    </w:rPr>
  </w:style>
  <w:style w:styleId="Heading7" w:type="paragraph">
    <w:name w:val="Heading 7"/>
    <w:basedOn w:val="Normal"/>
    <w:next w:val="BodyText"/>
    <w:uiPriority w:val="9"/>
    <w:unhideWhenUsed/>
    <w:qFormat/>
    <w:pPr>
      <w:keepNext/>
      <w:keepLines/>
      <w:spacing w:after="0" w:before="200"/>
      <w:outlineLvl w:val="6"/>
    </w:pPr>
    <w:rPr>
      <w:rFonts w:asciiTheme="majorHAnsi" w:cstheme="majorBidi" w:eastAsiaTheme="majorEastAsia" w:hAnsiTheme="majorHAnsi"/>
      <w:color w:themeColor="accent1" w:val="4F81BD"/>
      <w:sz w:val="24"/>
      <w:szCs w:val="24"/>
    </w:rPr>
  </w:style>
  <w:style w:styleId="Heading8" w:type="paragraph">
    <w:name w:val="Heading 8"/>
    <w:basedOn w:val="Normal"/>
    <w:next w:val="BodyText"/>
    <w:uiPriority w:val="9"/>
    <w:unhideWhenUsed/>
    <w:qFormat/>
    <w:pPr>
      <w:keepNext/>
      <w:keepLines/>
      <w:spacing w:after="0" w:before="200"/>
      <w:outlineLvl w:val="7"/>
    </w:pPr>
    <w:rPr>
      <w:rFonts w:asciiTheme="majorHAnsi" w:cstheme="majorBidi" w:eastAsiaTheme="majorEastAsia" w:hAnsiTheme="majorHAnsi"/>
      <w:color w:themeColor="accent1" w:val="4F81BD"/>
      <w:sz w:val="24"/>
      <w:szCs w:val="24"/>
    </w:rPr>
  </w:style>
  <w:style w:styleId="Heading9" w:type="paragraph">
    <w:name w:val="Heading 9"/>
    <w:basedOn w:val="Normal"/>
    <w:next w:val="BodyText"/>
    <w:uiPriority w:val="9"/>
    <w:unhideWhenUsed/>
    <w:qFormat/>
    <w:pPr>
      <w:keepNext/>
      <w:keepLines/>
      <w:spacing w:after="0" w:before="200"/>
      <w:outlineLvl w:val="8"/>
    </w:pPr>
    <w:rPr>
      <w:rFonts w:asciiTheme="majorHAnsi" w:cstheme="majorBidi" w:eastAsiaTheme="majorEastAsia" w:hAnsiTheme="majorHAnsi"/>
      <w:color w:themeColor="accent1" w:val="4F81BD"/>
      <w:sz w:val="24"/>
      <w:szCs w:val="24"/>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blPr>
        <w:jc w:val="left"/>
        <w:tblInd w:type="dxa" w:w="0"/>
      </w:tblPr>
      <w:trPr>
        <w:jc w:val="left"/>
      </w:trPr>
      <w:tcPr>
        <w:vAlign w:val="bottom"/>
        <w:tcBorders>
          <w:bottom w:val="single"/>
        </w:tcBorders>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color w:val="007020"/>
      <w:b/>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color w:val="008000"/>
      <w:b/>
    </w:rPr>
  </w:style>
  <w:style w:type="character" w:customStyle="1" w:styleId="CommentTok">
    <w:name w:val="CommentTok"/>
    <w:basedOn w:val="VerbatimChar"/>
    <w:rPr>
      <w:color w:val="60a0b0"/>
      <w:i/>
    </w:rPr>
  </w:style>
  <w:style w:type="character" w:customStyle="1" w:styleId="DocumentationTok">
    <w:name w:val="DocumentationTok"/>
    <w:basedOn w:val="VerbatimChar"/>
    <w:rPr>
      <w:color w:val="ba2121"/>
      <w:i/>
    </w:rPr>
  </w:style>
  <w:style w:type="character" w:customStyle="1" w:styleId="AnnotationTok">
    <w:name w:val="AnnotationTok"/>
    <w:basedOn w:val="VerbatimChar"/>
    <w:rPr>
      <w:color w:val="60a0b0"/>
      <w:b/>
      <w:i/>
    </w:rPr>
  </w:style>
  <w:style w:type="character" w:customStyle="1" w:styleId="CommentVarTok">
    <w:name w:val="CommentVarTok"/>
    <w:basedOn w:val="VerbatimChar"/>
    <w:rPr>
      <w:color w:val="60a0b0"/>
      <w:b/>
      <w:i/>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color w:val="007020"/>
      <w:b/>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color w:val="60a0b0"/>
      <w:b/>
      <w:i/>
    </w:rPr>
  </w:style>
  <w:style w:type="character" w:customStyle="1" w:styleId="WarningTok">
    <w:name w:val="WarningTok"/>
    <w:basedOn w:val="VerbatimChar"/>
    <w:rPr>
      <w:color w:val="60a0b0"/>
      <w:b/>
      <w:i/>
    </w:rPr>
  </w:style>
  <w:style w:type="character" w:customStyle="1" w:styleId="AlertTok">
    <w:name w:val="AlertTok"/>
    <w:basedOn w:val="VerbatimChar"/>
    <w:rPr>
      <w:color w:val="ff0000"/>
      <w:b/>
    </w:rPr>
  </w:style>
  <w:style w:type="character" w:customStyle="1" w:styleId="ErrorTok">
    <w:name w:val="ErrorTok"/>
    <w:basedOn w:val="VerbatimChar"/>
    <w:rPr>
      <w:color w:val="ff0000"/>
      <w:b/>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IoTSyn - Smart City &amp; Public Spaces Edition</dc:title>
  <dc:creator>IoTSyn Project</dc:creator>
  <dc:language>en-US</dc:language>
  <cp:keywords/>
  <dcterms:created xsi:type="dcterms:W3CDTF">2026-07-04T14:46:45Z</dcterms:created>
  <dcterms:modified xsi:type="dcterms:W3CDTF">2026-07-04T14:46:45Z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2026-07-04</vt:lpwstr>
  </property>
  <property fmtid="{D5CDD505-2E9C-101B-9397-08002B2CF9AE}" pid="3" name="subtitle">
    <vt:lpwstr>Methodology and Normative Implementation Specification v4.4.0-RC1</vt:lpwstr>
  </property>
</Properties>
</file>